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 w:themeFill="background1"/>
        <w:spacing w:after="0" w:before="0" w:line="240" w:lineRule="auto"/>
        <w:ind w:firstLine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№5</w:t>
      </w:r>
      <w:r>
        <w:rPr>
          <w:b/>
          <w:sz w:val="20"/>
          <w:szCs w:val="20"/>
        </w:rPr>
      </w:r>
    </w:p>
    <w:p>
      <w:pPr>
        <w:keepNext w:val="true"/>
        <w:pBdr/>
        <w:shd w:val="clear" w:color="auto" w:fill="ffffff" w:themeFill="background1"/>
        <w:spacing w:after="0" w:before="0" w:line="240" w:lineRule="auto"/>
        <w:ind w:firstLine="0"/>
        <w:jc w:val="center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 xml:space="preserve">к Договору привлечения платежного </w:t>
      </w:r>
      <w:r>
        <w:rPr>
          <w:b/>
          <w:sz w:val="20"/>
          <w:szCs w:val="20"/>
          <w:lang w:eastAsia="ar-SA"/>
        </w:rPr>
        <w:t xml:space="preserve">агента с целью обеспечения информационно-технологического взаимодействия</w:t>
      </w:r>
      <w:r>
        <w:rPr>
          <w:sz w:val="20"/>
          <w:szCs w:val="20"/>
        </w:rPr>
      </w:r>
    </w:p>
    <w:p>
      <w:pPr>
        <w:pBdr/>
        <w:spacing w:after="0" w:before="0" w:line="240" w:lineRule="auto"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Форма </w:t>
      </w:r>
      <w:r>
        <w:rPr>
          <w:b/>
          <w:bCs/>
          <w:color w:val="000000"/>
          <w:sz w:val="20"/>
          <w:szCs w:val="20"/>
        </w:rPr>
        <w:t xml:space="preserve">Договора об информационно-технологическом взаимодействии при осуществлении</w:t>
      </w:r>
      <w:r>
        <w:rPr>
          <w:b/>
          <w:bCs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переводов, совершаемых в сети Интернет</w:t>
      </w:r>
      <w:r>
        <w:rPr>
          <w:b/>
          <w:bCs/>
          <w:color w:val="000000"/>
          <w:sz w:val="20"/>
          <w:szCs w:val="20"/>
        </w:rPr>
      </w:r>
    </w:p>
    <w:p>
      <w:pPr>
        <w:pBdr/>
        <w:spacing w:after="0" w:before="0" w:line="240" w:lineRule="auto"/>
        <w:ind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Оферта</w:t>
      </w:r>
      <w:r>
        <w:rPr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Договор об информационно-технологическом взаимодействии при осуществлении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переводов, совершаемых в сети Интернет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АКБ «</w:t>
      </w:r>
      <w:r>
        <w:rPr>
          <w:b/>
          <w:bCs/>
          <w:color w:val="000000"/>
          <w:sz w:val="20"/>
          <w:szCs w:val="20"/>
        </w:rPr>
        <w:t xml:space="preserve">Капиталбанк</w:t>
      </w:r>
      <w:r>
        <w:rPr>
          <w:b/>
          <w:bCs/>
          <w:color w:val="000000"/>
          <w:sz w:val="20"/>
          <w:szCs w:val="20"/>
        </w:rPr>
        <w:t xml:space="preserve">»</w:t>
      </w:r>
      <w:r>
        <w:rPr>
          <w:color w:val="000000"/>
          <w:sz w:val="20"/>
          <w:szCs w:val="20"/>
        </w:rPr>
        <w:t xml:space="preserve"> (100047, г. Ташкент, </w:t>
      </w:r>
      <w:r>
        <w:rPr>
          <w:color w:val="000000"/>
          <w:sz w:val="20"/>
          <w:szCs w:val="20"/>
        </w:rPr>
        <w:t xml:space="preserve">Юнусабадский</w:t>
      </w:r>
      <w:r>
        <w:rPr>
          <w:color w:val="000000"/>
          <w:sz w:val="20"/>
          <w:szCs w:val="20"/>
        </w:rPr>
        <w:t xml:space="preserve"> р-н, ул. </w:t>
      </w:r>
      <w:r>
        <w:rPr>
          <w:color w:val="000000"/>
          <w:sz w:val="20"/>
          <w:szCs w:val="20"/>
        </w:rPr>
        <w:t xml:space="preserve">Сайилгох</w:t>
      </w:r>
      <w:r>
        <w:rPr>
          <w:color w:val="000000"/>
          <w:sz w:val="20"/>
          <w:szCs w:val="20"/>
        </w:rPr>
        <w:t xml:space="preserve">, 7, ИНН:203591761, Номер лицензии: 69, 07.04.2001), именуемый в дальнейшем «Банк», от лица которого действует </w:t>
      </w:r>
      <w:r>
        <w:rPr>
          <w:b/>
          <w:color w:val="000000"/>
          <w:sz w:val="20"/>
          <w:szCs w:val="20"/>
        </w:rPr>
        <w:t xml:space="preserve">ООО «</w:t>
      </w:r>
      <w:r>
        <w:rPr>
          <w:b/>
          <w:color w:val="000000"/>
          <w:sz w:val="20"/>
          <w:szCs w:val="20"/>
        </w:rPr>
        <w:t xml:space="preserve">Paygine</w:t>
      </w:r>
      <w:r>
        <w:rPr>
          <w:b/>
          <w:color w:val="000000"/>
          <w:sz w:val="20"/>
          <w:szCs w:val="20"/>
        </w:rPr>
        <w:t xml:space="preserve"> Tech» (г. Ташкент, </w:t>
      </w:r>
      <w:r>
        <w:rPr>
          <w:b/>
          <w:color w:val="000000"/>
          <w:sz w:val="20"/>
          <w:szCs w:val="20"/>
        </w:rPr>
        <w:t xml:space="preserve">Мирабадский</w:t>
      </w:r>
      <w:r>
        <w:rPr>
          <w:b/>
          <w:color w:val="000000"/>
          <w:sz w:val="20"/>
          <w:szCs w:val="20"/>
        </w:rPr>
        <w:t xml:space="preserve"> район улица </w:t>
      </w:r>
      <w:r>
        <w:rPr>
          <w:b/>
          <w:color w:val="000000"/>
          <w:sz w:val="20"/>
          <w:szCs w:val="20"/>
        </w:rPr>
        <w:t xml:space="preserve">Афросиеб</w:t>
      </w:r>
      <w:r>
        <w:rPr>
          <w:b/>
          <w:color w:val="000000"/>
          <w:sz w:val="20"/>
          <w:szCs w:val="20"/>
        </w:rPr>
        <w:t xml:space="preserve"> 14, ИНН: 309501041)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лице Генерального директора 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t xml:space="preserve">Бахадирова Алишера Комиловича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t xml:space="preserve">,</w:t>
      </w:r>
      <w:r>
        <w:rPr>
          <w:color w:val="000000"/>
          <w:sz w:val="20"/>
          <w:szCs w:val="20"/>
          <w:lang w:val="en-US"/>
        </w:rPr>
        <w:t xml:space="preserve"> </w:t>
      </w:r>
      <w:r>
        <w:rPr>
          <w:color w:val="000000"/>
          <w:sz w:val="20"/>
          <w:szCs w:val="20"/>
        </w:rPr>
        <w:t xml:space="preserve">именуемое в дальнейшем </w:t>
      </w:r>
      <w:r>
        <w:rPr>
          <w:b/>
          <w:color w:val="000000"/>
          <w:sz w:val="20"/>
          <w:szCs w:val="20"/>
        </w:rPr>
        <w:t xml:space="preserve">«Процессор»</w:t>
      </w:r>
      <w:r>
        <w:rPr>
          <w:color w:val="000000"/>
          <w:sz w:val="20"/>
          <w:szCs w:val="20"/>
        </w:rPr>
        <w:t xml:space="preserve">, предлагает заключить договор об информационно-технологическом взаимодействии при осуществлении переводов, совершаемых в сети Интернет (далее – Договор), на условиях, изложенных ниже.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Определения, принятые в Договоре: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Анкета </w:t>
      </w:r>
      <w:r>
        <w:rPr>
          <w:color w:val="000000"/>
          <w:sz w:val="20"/>
          <w:szCs w:val="20"/>
        </w:rPr>
        <w:t xml:space="preserve">— анкета по форме, установленной в Приложении №1 к Договору, подлежащая заполнению Партнером.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Платежная карта/Карта </w:t>
      </w:r>
      <w:r>
        <w:rPr>
          <w:color w:val="000000"/>
          <w:sz w:val="20"/>
          <w:szCs w:val="20"/>
        </w:rPr>
        <w:t xml:space="preserve">— </w:t>
      </w:r>
      <w:r>
        <w:rPr>
          <w:color w:val="000000"/>
          <w:sz w:val="20"/>
          <w:szCs w:val="20"/>
        </w:rPr>
        <w:t xml:space="preserve">инструмент безналичных расчетов, являющийся электронным средством платежа, предназначенный для совершения Держателем карты операций с денежными средствами, находящимися у Эмитента, в соответствии с договором, заключенным между Эмитентом и Держателем карты.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Держатель карты/Покупатель </w:t>
      </w:r>
      <w:r>
        <w:rPr>
          <w:color w:val="000000"/>
          <w:sz w:val="20"/>
          <w:szCs w:val="20"/>
        </w:rPr>
        <w:t xml:space="preserve">— физическое лицо, в том числе уполномоченное юридическим лицом, использующее Карту для совершения операций с денежными средствами, находящимися у Эмитента, в соответствии с законодательством Республики Узбекистан и договором с Эмитентом.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/>
      <w:bookmarkStart w:id="0" w:name="_heading=h.gjdgxs"/>
      <w:r/>
      <w:bookmarkEnd w:id="0"/>
      <w:r/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Партнер (Клиент)</w:t>
      </w:r>
      <w:r>
        <w:rPr>
          <w:color w:val="000000"/>
          <w:sz w:val="20"/>
          <w:szCs w:val="20"/>
        </w:rPr>
        <w:t xml:space="preserve"> — юридическое лицо, заключившее Договор </w:t>
      </w:r>
      <w:r>
        <w:rPr>
          <w:color w:val="000000"/>
          <w:sz w:val="20"/>
          <w:szCs w:val="20"/>
        </w:rPr>
        <w:t xml:space="preserve">с  Банком</w:t>
      </w:r>
      <w:r>
        <w:rPr>
          <w:color w:val="000000"/>
          <w:sz w:val="20"/>
          <w:szCs w:val="20"/>
        </w:rPr>
        <w:t xml:space="preserve">, от лица которого выступает Процессор, и намеревающееся принимать Карты к оплате через интернет за предоставленные товары, выполненные работы, оказанные услуги.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Магазин </w:t>
      </w:r>
      <w:r>
        <w:rPr>
          <w:color w:val="000000"/>
          <w:sz w:val="20"/>
          <w:szCs w:val="20"/>
        </w:rPr>
        <w:t xml:space="preserve">— программный продукт Партнера, имеющий уникальный </w:t>
      </w:r>
      <w:r>
        <w:rPr>
          <w:color w:val="000000"/>
          <w:sz w:val="20"/>
          <w:szCs w:val="20"/>
        </w:rPr>
        <w:t xml:space="preserve">web</w:t>
      </w:r>
      <w:r>
        <w:rPr>
          <w:color w:val="000000"/>
          <w:sz w:val="20"/>
          <w:szCs w:val="20"/>
        </w:rPr>
        <w:t xml:space="preserve">-адрес в сети Интернет, обеспечивающий посредством сети Интернет предоставление информации о реализуемых Партнером Товарах и их стоимости, а также прием от Покупателей заказов на их приобретение.</w:t>
      </w:r>
      <w:r>
        <w:rPr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Платежные системы (ПС) </w:t>
      </w:r>
      <w:r>
        <w:rPr>
          <w:color w:val="000000"/>
          <w:sz w:val="20"/>
          <w:szCs w:val="20"/>
        </w:rPr>
        <w:t xml:space="preserve">— международные платежные системы VISA International, </w:t>
      </w:r>
      <w:r>
        <w:rPr>
          <w:color w:val="000000"/>
          <w:sz w:val="20"/>
          <w:szCs w:val="20"/>
        </w:rPr>
        <w:t xml:space="preserve">Mastercard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Мошенническая операция </w:t>
      </w:r>
      <w:r>
        <w:rPr>
          <w:color w:val="000000"/>
          <w:sz w:val="20"/>
          <w:szCs w:val="20"/>
        </w:rPr>
        <w:t xml:space="preserve">— операция, заявленная ПС и/или Эмитентом как мошенническая и/или оспоренная Держателем карты. Достаточным подтвержде</w:t>
      </w:r>
      <w:r>
        <w:rPr>
          <w:color w:val="000000"/>
          <w:sz w:val="20"/>
          <w:szCs w:val="20"/>
        </w:rPr>
        <w:t xml:space="preserve">нием мошеннического характера проведенных Операций являются заявления Эмитентов и/или подтверждения ПС (в том числе представительств ПС в Республике Узбекистан), полученные Банком или Процессором в электронном виде или с использованием факсимильной связи. </w:t>
      </w:r>
      <w:r>
        <w:rPr>
          <w:color w:val="000000" w:themeColor="text1"/>
          <w:sz w:val="20"/>
          <w:szCs w:val="20"/>
        </w:rPr>
        <w:t xml:space="preserve">Механизм взаимодействия между Банком и Процессором в случаях получения входящих </w:t>
      </w:r>
      <w:r>
        <w:rPr>
          <w:color w:val="000000" w:themeColor="text1"/>
          <w:sz w:val="20"/>
          <w:szCs w:val="20"/>
        </w:rPr>
        <w:t xml:space="preserve">опротестований</w:t>
      </w:r>
      <w:r>
        <w:rPr>
          <w:color w:val="000000" w:themeColor="text1"/>
          <w:sz w:val="20"/>
          <w:szCs w:val="20"/>
        </w:rPr>
        <w:t xml:space="preserve"> от Эмитента предусмотрен Порядком проведения претензионной работы.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Операция </w:t>
      </w:r>
      <w:r>
        <w:rPr>
          <w:color w:val="000000"/>
          <w:sz w:val="20"/>
          <w:szCs w:val="20"/>
        </w:rPr>
        <w:t xml:space="preserve">— услуги по приему и осуществлению переводов денег с использованием банковского счета, включающие в себя следующие виды операций: Операцию оплаты; Операцию возврата.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Операция оплаты </w:t>
      </w:r>
      <w:r>
        <w:rPr>
          <w:color w:val="000000"/>
          <w:sz w:val="20"/>
          <w:szCs w:val="20"/>
        </w:rPr>
        <w:t xml:space="preserve">— расчетная операция по переводу денежных средств от Покупателя в пользу Партнера, осуществляемая с использованием Карты, проводимая в Магазине по требованию Покупателя в целях приобретения им Товара.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Операция возврата </w:t>
      </w:r>
      <w:r>
        <w:rPr>
          <w:color w:val="000000"/>
          <w:sz w:val="20"/>
          <w:szCs w:val="20"/>
        </w:rPr>
        <w:t xml:space="preserve">– расчетная операци</w:t>
      </w:r>
      <w:r>
        <w:rPr>
          <w:color w:val="000000"/>
          <w:sz w:val="20"/>
          <w:szCs w:val="20"/>
        </w:rPr>
        <w:t xml:space="preserve">я, совершаемая с использованием Карты при возврате Покупателем Товара, оплаченного с использованием Карты, либо при возникновении необходимости в возврате Покупателю денег, списанных с его счета при оплате Товара в рамках ранее совершенной Операции оплаты.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Комиссия Банка</w:t>
      </w:r>
      <w:r>
        <w:rPr>
          <w:color w:val="000000"/>
          <w:sz w:val="20"/>
          <w:szCs w:val="20"/>
        </w:rPr>
        <w:t xml:space="preserve"> – вознаграждение Банку за обработку информации для осуществления Операций, в том числе по неуспешным операциям, совершение Операций и осуществление расчетов по ним в соответствии с Условиями, удерживаемый с каждой Операции оплаты, указываемый в Анкете.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Перечисление</w:t>
      </w:r>
      <w:r>
        <w:rPr>
          <w:color w:val="000000"/>
          <w:sz w:val="20"/>
          <w:szCs w:val="20"/>
        </w:rPr>
        <w:t xml:space="preserve"> – </w:t>
      </w:r>
      <w:r>
        <w:rPr>
          <w:rFonts w:eastAsia="Arial Unicode MS"/>
          <w:color w:val="000000"/>
          <w:sz w:val="20"/>
          <w:szCs w:val="20"/>
        </w:rPr>
        <w:t xml:space="preserve">сумма денежных средств, состоящая из Операций оплаты за вычетом Операций возврата, Комиссии Банка и иных сумм, подлежащих удержанию Банком в соответствии с Договором,</w:t>
      </w:r>
      <w:r>
        <w:rPr>
          <w:rFonts w:eastAsia="Arial Unicode MS"/>
          <w:color w:val="000000"/>
          <w:spacing w:val="7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 xml:space="preserve">подлежащая</w:t>
      </w:r>
      <w:r>
        <w:rPr>
          <w:rFonts w:eastAsia="Arial Unicode MS"/>
          <w:color w:val="000000"/>
          <w:spacing w:val="15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 xml:space="preserve">перечислению</w:t>
      </w:r>
      <w:r>
        <w:rPr>
          <w:rFonts w:eastAsia="Arial Unicode MS"/>
          <w:color w:val="000000"/>
          <w:spacing w:val="15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 xml:space="preserve">Партнеру</w:t>
      </w:r>
      <w:r>
        <w:rPr>
          <w:rFonts w:eastAsia="Arial Unicode MS"/>
          <w:color w:val="000000"/>
          <w:spacing w:val="15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 xml:space="preserve">за</w:t>
      </w:r>
      <w:r>
        <w:rPr>
          <w:rFonts w:eastAsia="Arial Unicode MS"/>
          <w:color w:val="000000"/>
          <w:spacing w:val="-3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 xml:space="preserve">каждый</w:t>
      </w:r>
      <w:r>
        <w:rPr>
          <w:rFonts w:eastAsia="Arial Unicode MS"/>
          <w:color w:val="000000"/>
          <w:spacing w:val="5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 xml:space="preserve">день.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Правила ПС </w:t>
      </w:r>
      <w:r>
        <w:rPr>
          <w:color w:val="000000"/>
          <w:sz w:val="20"/>
          <w:szCs w:val="20"/>
        </w:rPr>
        <w:t xml:space="preserve">— документ (сово</w:t>
      </w:r>
      <w:r>
        <w:rPr>
          <w:color w:val="000000"/>
          <w:sz w:val="20"/>
          <w:szCs w:val="20"/>
        </w:rPr>
        <w:t xml:space="preserve">купность документов), содержащий условия участия в платежной системе, осуществления перевода денежных средств, оказания услуг платежной инфраструктуры и иные условия, определяемые оператором платежной системы в соответствии с действующим законодательством.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Сайт </w:t>
      </w:r>
      <w:r>
        <w:rPr>
          <w:color w:val="000000"/>
          <w:sz w:val="20"/>
          <w:szCs w:val="20"/>
        </w:rPr>
        <w:t xml:space="preserve">— совокупность информац</w:t>
      </w:r>
      <w:r>
        <w:rPr>
          <w:color w:val="000000"/>
          <w:sz w:val="20"/>
          <w:szCs w:val="20"/>
        </w:rPr>
        <w:t xml:space="preserve">ии, способа ее представления и технических средств, объединенная, как правило, одной темой и/или целью, которая дает возможность пользователю, подключенному к сети Интернет и имеющему соответствующие технические средства, получить доступ к этой информации.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Система </w:t>
      </w:r>
      <w:r>
        <w:rPr>
          <w:color w:val="000000"/>
          <w:sz w:val="20"/>
          <w:szCs w:val="20"/>
        </w:rPr>
        <w:t xml:space="preserve">— программно-аппаратный комплекс Процессора (</w:t>
      </w:r>
      <w:r>
        <w:rPr>
          <w:color w:val="000000"/>
          <w:sz w:val="20"/>
          <w:szCs w:val="20"/>
        </w:rPr>
        <w:t xml:space="preserve">программа для ЭВМ </w:t>
      </w:r>
      <w:r>
        <w:rPr>
          <w:color w:val="000000"/>
          <w:sz w:val="20"/>
          <w:szCs w:val="20"/>
        </w:rPr>
        <w:t xml:space="preserve">Paygine</w:t>
      </w:r>
      <w:r>
        <w:rPr>
          <w:color w:val="000000"/>
          <w:sz w:val="20"/>
          <w:szCs w:val="20"/>
        </w:rPr>
        <w:t xml:space="preserve"> Tech, правообладателем и разработчиком которой является Процессор. Система предназначена для осуществления информационного-технологического взаимодействия между ПО и Организацией</w:t>
      </w:r>
      <w:r>
        <w:rPr>
          <w:color w:val="000000"/>
          <w:sz w:val="20"/>
          <w:szCs w:val="20"/>
        </w:rPr>
        <w:t xml:space="preserve">), обеспечивающий оказание услуг Процессора в соответствии с п. 1.1. Договора.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Полный доступ к Системе</w:t>
      </w:r>
      <w:r>
        <w:rPr>
          <w:color w:val="000000"/>
          <w:sz w:val="20"/>
          <w:szCs w:val="20"/>
        </w:rPr>
        <w:t xml:space="preserve"> – доступ к Системе, позволяющий осуществлять использование функционала Личного кабинета в полном объеме, а также совершать иные действия, предусмотренные Договором.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Тестовый доступ к Системе</w:t>
      </w:r>
      <w:r>
        <w:rPr>
          <w:color w:val="000000"/>
          <w:sz w:val="20"/>
          <w:szCs w:val="20"/>
        </w:rPr>
        <w:t xml:space="preserve"> – частичный доступ к Системе, позволяющий осуществлять первичное тестирование функционала Личного кабинета с рядом ограничений.</w:t>
      </w:r>
      <w:r>
        <w:rPr>
          <w:color w:val="000000"/>
          <w:sz w:val="20"/>
          <w:szCs w:val="20"/>
        </w:rPr>
      </w:r>
    </w:p>
    <w:p>
      <w:pPr>
        <w:pBdr/>
        <w:spacing w:after="0" w:before="0" w:line="240" w:lineRule="auto"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 w:after="0" w:before="0" w:line="240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Личный кабинет – </w:t>
      </w:r>
      <w:r>
        <w:rPr>
          <w:sz w:val="20"/>
          <w:szCs w:val="20"/>
        </w:rPr>
        <w:t xml:space="preserve">специализированный, персонифицированный раздел на Сайте Системы, защищенный специальными средствами защиты, представляющий собой систему (программное обеспечение, являющееся программным модулем Системы) электронного документооборота между С</w:t>
      </w:r>
      <w:r>
        <w:rPr>
          <w:sz w:val="20"/>
          <w:szCs w:val="20"/>
        </w:rPr>
        <w:t xml:space="preserve">торонами, содержащий информацию о Партнере, статистических данных об Операциях Партнера, совершенных во исполнение Договора, а также позволяющий использовать Партнеру дополнительные функциональные возможности Системы на условиях, предусмотренных Договором.</w:t>
      </w:r>
      <w:r>
        <w:rPr>
          <w:b/>
          <w:sz w:val="20"/>
          <w:szCs w:val="20"/>
        </w:rPr>
      </w:r>
    </w:p>
    <w:p>
      <w:pPr>
        <w:pBdr/>
        <w:spacing w:after="0" w:before="0" w:line="240" w:lineRule="auto"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 w:after="0" w:before="0"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Сторона Договора (Сторона) </w:t>
      </w:r>
      <w:r>
        <w:rPr>
          <w:sz w:val="20"/>
          <w:szCs w:val="20"/>
        </w:rPr>
        <w:t xml:space="preserve">– Банк, Процессор или Партнер.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Товар </w:t>
      </w:r>
      <w:r>
        <w:rPr>
          <w:color w:val="000000"/>
          <w:sz w:val="20"/>
          <w:szCs w:val="20"/>
        </w:rPr>
        <w:t xml:space="preserve">— товар, работа, услуга, результат интеллектуальной деятельности, реализуемые Партнером или третьими лицами, с которыми Партнером заключены договоры, и оплачиваемые Покупателем с использованием Карты.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Эмитент </w:t>
      </w:r>
      <w:r>
        <w:rPr>
          <w:color w:val="000000"/>
          <w:sz w:val="20"/>
          <w:szCs w:val="20"/>
        </w:rPr>
        <w:t xml:space="preserve">— поставщик платежных услуг, осуществляющий выпуск (эмиссию) Платежных карт.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Маркетплейс</w:t>
      </w:r>
      <w:r>
        <w:rPr>
          <w:color w:val="000000" w:themeColor="text1"/>
          <w:sz w:val="20"/>
          <w:szCs w:val="20"/>
        </w:rPr>
        <w:t xml:space="preserve"> – система наличных и безналичных денежных расчетов Процессора посредством электронных платежных документов с использованием технических средств, имеющих функцию направления покупателям чека в электронной ф</w:t>
      </w:r>
      <w:r>
        <w:rPr>
          <w:color w:val="000000" w:themeColor="text1"/>
          <w:sz w:val="20"/>
          <w:szCs w:val="20"/>
        </w:rPr>
        <w:t xml:space="preserve">орме, обладающая возможностью подключения к системе оператора фискальных данных, принимающая в онлайн-режиме фискальные отметки на основании данных чека, предоставленного оператору фискальных данных. Процессор внесен в государственный реестр маркетплейсов.</w:t>
      </w:r>
      <w:r>
        <w:rPr>
          <w:color w:val="000000" w:themeColor="text1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355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Предмет договора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pStyle w:val="710"/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6"/>
        </w:tabs>
        <w:spacing w:after="0" w:before="0" w:line="240" w:lineRule="auto"/>
        <w:ind w:firstLine="0" w:left="0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Договор определяет порядок взаи</w:t>
      </w:r>
      <w:r>
        <w:rPr>
          <w:color w:val="000000"/>
          <w:sz w:val="20"/>
          <w:szCs w:val="20"/>
        </w:rPr>
        <w:t xml:space="preserve">модействия между Банком и Партнером при осуществлении Операций, а также порядок расчетов между Банком и Партнером, технологический порядок информационно-технологического взаимодействия Процессора и Партнера, осуществляемого в целях обеспечения приема Карт.</w:t>
      </w:r>
      <w:r>
        <w:rPr>
          <w:color w:val="000000"/>
          <w:sz w:val="20"/>
          <w:szCs w:val="20"/>
        </w:rPr>
      </w:r>
    </w:p>
    <w:p>
      <w:pPr>
        <w:pStyle w:val="71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6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1"/>
          <w:numId w:val="1"/>
        </w:numPr>
        <w:pBdr/>
        <w:spacing w:after="0" w:before="0" w:line="240" w:lineRule="auto"/>
        <w:ind w:firstLine="0" w:left="0"/>
        <w:contextualSpacing w:val="false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обязуется передавать необходимую для осуществления Операции информацию Банку, Банк обязуется за вознагражд</w:t>
      </w:r>
      <w:r>
        <w:rPr>
          <w:color w:val="000000"/>
          <w:sz w:val="20"/>
          <w:szCs w:val="20"/>
        </w:rPr>
        <w:t xml:space="preserve">ение оказывать Партнеру услуги по обработке платежей, инициированных Покупателем в электронной форме с помощью АПК Процессора, с целью приобретения Товара в Магазине, а Партнер обязуется оплачивать предусмотренное Договором вознаграждение (Комиссию Банка).</w:t>
      </w:r>
      <w:r>
        <w:rPr>
          <w:sz w:val="20"/>
          <w:szCs w:val="20"/>
        </w:rPr>
      </w:r>
    </w:p>
    <w:p>
      <w:pPr>
        <w:pStyle w:val="710"/>
        <w:pBdr/>
        <w:tabs>
          <w:tab w:val="left" w:leader="none" w:pos="606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1"/>
          <w:numId w:val="1"/>
        </w:numPr>
        <w:pBdr/>
        <w:tabs>
          <w:tab w:val="left" w:leader="none" w:pos="606"/>
        </w:tabs>
        <w:spacing w:after="0" w:before="0" w:line="240" w:lineRule="auto"/>
        <w:ind w:firstLine="0" w:left="0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Обязательства Покупателей перед Партнером, во исполнение которых совершаются переводы, возникают в порядке и по основаниям, уст</w:t>
      </w:r>
      <w:r>
        <w:rPr>
          <w:color w:val="000000"/>
          <w:sz w:val="20"/>
          <w:szCs w:val="20"/>
        </w:rPr>
        <w:t xml:space="preserve">ановленным законодательством Республики Узбекистан и (или) договором Покупателя с Партнером. Отношения, из которых возникают указанные обязательства, не входят в предмет регулирования Договора и не порождают для Процессора каких бы то ни было обязанностей.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142"/>
          <w:tab w:val="num" w:leader="none" w:pos="360"/>
        </w:tabs>
        <w:spacing w:after="0" w:before="0" w:line="240" w:lineRule="auto"/>
        <w:ind w:hanging="354" w:left="0"/>
        <w:rPr>
          <w:sz w:val="20"/>
          <w:szCs w:val="20"/>
        </w:rPr>
      </w:pPr>
      <w:r>
        <w:rPr>
          <w:sz w:val="20"/>
          <w:szCs w:val="20"/>
        </w:rPr>
        <w:t xml:space="preserve">Порядок взаимодействия при заключении договора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Договор является предложением для Партнеров высылать свои оферты в адрес Процессора для заключения договора на условиях, определенных Договором и Анкетой.</w:t>
      </w:r>
      <w:r>
        <w:rPr>
          <w:color w:val="000000"/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Акцепт оферты Банком означают полное и безоговорочное принятие Сторонами всех условий Договора и Анкеты без каких-либо изъятий и/или ограничений и равносилен заключению двустороннего письменного Договора (ст. 366 ГК Республики Узбекистан).</w:t>
      </w:r>
      <w:r>
        <w:rPr>
          <w:color w:val="000000"/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Порядок исполнения Договора регулируется исключительно нормами законодательства Республики Узбекистан.</w:t>
      </w:r>
      <w:r>
        <w:rPr>
          <w:color w:val="000000"/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Партнер направляет оферту для последующего акцепта Банка, после ознакомления с ним, путем заполнения Анкеты, с</w:t>
      </w:r>
      <w:r>
        <w:rPr>
          <w:color w:val="000000"/>
          <w:sz w:val="20"/>
          <w:szCs w:val="20"/>
        </w:rPr>
        <w:t xml:space="preserve">одержащей соответствующие действительности сведения, а также согласованную Сторонами в процессе предварительных переговоров Комиссию Банка, и направления сканированной (электронной) версии данной Анкеты с подписью Партнера на электронный адрес Процессора: </w:t>
      </w:r>
      <w:r>
        <w:rPr>
          <w:color w:val="000000"/>
          <w:sz w:val="20"/>
          <w:szCs w:val="20"/>
        </w:rPr>
        <w:t xml:space="preserve">bank@paygine.net</w:t>
      </w:r>
      <w:r>
        <w:rPr>
          <w:color w:val="000000"/>
          <w:sz w:val="20"/>
          <w:szCs w:val="20"/>
        </w:rPr>
        <w:t xml:space="preserve"> или персональный адрес менеджера Процессора.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Банк в лице Процессора осуществляет акцепт оферты Партнера путем предоставления Партнеру Полного доступа к Системе. Процессор вправе отклонить оферту Партнера.</w:t>
      </w:r>
      <w:r>
        <w:rPr>
          <w:color w:val="000000"/>
          <w:sz w:val="20"/>
          <w:szCs w:val="20"/>
        </w:rPr>
      </w:r>
    </w:p>
    <w:p>
      <w:pPr>
        <w:pStyle w:val="710"/>
        <w:pBdr/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Процессор, в порядке, согласованном между Сторонами по электронному адресу Процессора: или персональному адресу менеджера Процессора, вправе по поручению Банка предоставить Партнеру Тестовый доступ к Системе. </w:t>
      </w:r>
      <w:r>
        <w:rPr>
          <w:b/>
          <w:color w:val="000000"/>
          <w:sz w:val="20"/>
          <w:szCs w:val="20"/>
        </w:rPr>
        <w:t xml:space="preserve">Предоставление Тестового доступа к Системе не является акцептом оферты Партнера.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Если Партнеру был предоставлен Тестовый доступ к Системе, в случае, когда Процессор отклонил оферту Партнера, Процессор вправе удалить Личный кабинет Партнера.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Права</w:t>
      </w:r>
      <w:r>
        <w:rPr>
          <w:color w:val="000000"/>
          <w:sz w:val="20"/>
          <w:szCs w:val="20"/>
        </w:rPr>
        <w:t xml:space="preserve"> и обязанности Сторон по Договору возникают с момента вступления Договора в силу. Договор вступает в силу с момента предоставления доступа к Системе или с момента акцепта Банком в лице Процессора оферты Партнера в зависимости от того, что наступит позднее.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Партнер обязуется сообщать при регистрации в Системе сведения, соответствующие действительности.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Договор расположен на постоянном адресе в сети-интернет - </w:t>
      </w:r>
      <w:r>
        <w:rPr>
          <w:color w:val="000000"/>
          <w:sz w:val="20"/>
          <w:szCs w:val="20"/>
        </w:rPr>
        <w:t xml:space="preserve">paygine.uz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355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Сроки оказания услуг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92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оказывает Партнеру услуги, указанные в п. 1.1. Договора, незамедлительно после получения распоряжения Держателя карты о совершении Операции оплаты.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25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соответствии с Договором Банк обеспечивает круглосуточное проведение Б Операций, за исключением времени проведения Банком профилактических или технических работ в Системе.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2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Время проведения профилактических или технических работ определяется Банком согласно </w:t>
      </w:r>
      <w:r>
        <w:rPr>
          <w:color w:val="000000"/>
          <w:sz w:val="20"/>
          <w:szCs w:val="20"/>
        </w:rPr>
        <w:t xml:space="preserve">внутренним регламентам, в связи с чем ни Банк, ни Процессор не несет ответственности за неоказание в срок услуг, указанных в п. 1.1. Договора, во время проведения таких работ.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вправе приостановить оказание услуг Партнеру в следующих случаях: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возникновения обстоятельств, не зависящих от Процессора и могущих, по мнению Процессора, повлечь значительные убытки для Процессора на срок действия таких обстоятельств;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нарушения Партнером любого из своих обязательств, предусмотренных Договором до полного устранения Партнером допущенного нарушения;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получения в отношении Партнера уведомления от Банка и/или Эмитента о прекращении процедур запроса и получения Процессором разрешения Банка на проведение Операций или прекращении проведения Операций;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иным основаниям, предусмотренным законодательством Республики Узбекистан.</w:t>
      </w:r>
      <w:r>
        <w:rPr>
          <w:color w:val="000000"/>
          <w:sz w:val="20"/>
          <w:szCs w:val="20"/>
        </w:rPr>
      </w:r>
    </w:p>
    <w:p>
      <w:pPr>
        <w:pBdr/>
        <w:tabs>
          <w:tab w:val="left" w:leader="none" w:pos="834"/>
        </w:tabs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 приостановлении оказания услуг Процессор, не позднее даты такого приостановления, направляет Партнеру </w:t>
      </w:r>
      <w:r>
        <w:rPr>
          <w:color w:val="000000"/>
          <w:sz w:val="20"/>
          <w:szCs w:val="20"/>
        </w:rPr>
        <w:t xml:space="preserve">уведомление  по</w:t>
      </w:r>
      <w:r>
        <w:rPr>
          <w:color w:val="000000"/>
          <w:sz w:val="20"/>
          <w:szCs w:val="20"/>
        </w:rPr>
        <w:t xml:space="preserve">  электронной  почте и/или уведомляет по телефону указанного Партнером в Анкете ответственного сотрудника с указанием причины и срока приостановления.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вправе в одностороннем порядке отказаться от оказания услуг, а Банк прекращает проведение Операций в случае наличия у Банка и/или Процессора любых из следующих сведений: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совершение в Магазине Мошеннических операций и/или участие Партнера и/или его работников, в т.ч. Покупателей, в мошеннической или иной незаконной деятельности;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предоставление Партнером Процессору недостоверной информации о Партнере, роде его деятельности и т.д.;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внесение изменений Магазином/Партнером в доменное имя Сайта Магазина без предварительного уведомления Процессора и Банка;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несоответствие Магазина/Партнера требованиям, установленным для Сайта Магазина и/или иным положениям Договора;</w:t>
      </w:r>
      <w:r>
        <w:rPr>
          <w:sz w:val="20"/>
          <w:szCs w:val="20"/>
        </w:rPr>
      </w:r>
    </w:p>
    <w:p>
      <w:pPr>
        <w:widowControl w:val="false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осуществление Магазином/Партнером видов деятельности, которые могут нанести финансовый и/или репутационный ущерб Банку и/или Процессору;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выявление Банком и/или Процессором случаев неправомерного отказа Партнера от проведения Операции возврата или в иных случаях, когда деньги были неправомерно списаны со счета Покупателя по ранее проведенной Операции оплаты;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неисполнении Партнером обязанности по переводу Банку и/или Процессору денег в случаях и порядке, определенных в п. 4.2.1., 6.2. Договора;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иным основаниям, предусмотренным законодательством Республики Узбекистан.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355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Права и обязанности Сторон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</w:tabs>
        <w:spacing w:after="0" w:before="0" w:line="240" w:lineRule="auto"/>
        <w:ind w:hanging="426"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Банк обязуется: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Обеспечить возможность круглосуточной обработки направленной через Систему Процессора информации для осуществления Операций и непосредственного осуществления Операций.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Переводить Перечисление на расчетный счет Партнера, указанный в Анкете в течение 10 (десяти) банковских дней, при условии: </w:t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before="0" w:line="240" w:lineRule="auto"/>
        <w:ind w:hanging="284" w:left="709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отсутствия у Банка и/или Процессора подозрений в отношении совершения в Магазине Партнера Мошеннических и/или Недействительных операций; </w:t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before="0" w:line="240" w:lineRule="auto"/>
        <w:ind w:hanging="284" w:left="709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отсутствия у Банка и/или Процессора подозрений в отношении вовлеч</w:t>
      </w:r>
      <w:r>
        <w:rPr>
          <w:color w:val="000000"/>
          <w:sz w:val="20"/>
          <w:szCs w:val="20"/>
        </w:rPr>
        <w:t xml:space="preserve">енности Партнёра в действия, квалифицируемые как нарушение Закона Республики Узбекистан “О противодействии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уничтожения”;</w:t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before="0" w:line="240" w:lineRule="auto"/>
        <w:ind w:hanging="284" w:left="709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отсутствия нарушений условий Договора со стороны Партнера; </w:t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before="0" w:line="240" w:lineRule="auto"/>
        <w:ind w:hanging="284" w:left="709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отсутствия задолженности Партнера перед Банком и/или Процессором.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Ок</w:t>
      </w:r>
      <w:r>
        <w:rPr>
          <w:color w:val="000000"/>
          <w:sz w:val="20"/>
          <w:szCs w:val="20"/>
        </w:rPr>
        <w:t xml:space="preserve">азать содействие в регистрации/сертификации Партнера в ПС (при наличии соответствующего требования ПС), необходимой для осуществления Партнером деятельности в рамках настоящего Договора. Все расходы по регистрации/сертификации в ПС возлагаются на Партнера.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Банк имеет право: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 переводить или удерживать из последующих Перечислений Партнеру следующие суммы Операций оплаты: </w:t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hanging="207" w:left="567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Операциям, проведенным с нарушением условий Договора, применимого законодательства Республики Узбекистан и/или правил ПС;</w:t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hanging="207" w:left="567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Операциям, заявленным Эмитентом как проведенные не Держателем карты;</w:t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hanging="207" w:left="567"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Операциям оплаты (по которым были произведены Операции возврата), в том числе вознаграждение Процессора по соответствующим Операциям.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согласны, что достаточным подтверждением того, что операция </w:t>
      </w:r>
      <w:r>
        <w:rPr>
          <w:color w:val="000000"/>
          <w:sz w:val="20"/>
          <w:szCs w:val="20"/>
        </w:rPr>
        <w:t xml:space="preserve">проведена не Держателем карты являются заявления Эмитентов, полученные Банком в электронном виде или с использованием факсимильной связи, и/или подтверждения ПС, полученные Банком и переданные Процессору в электронном виде или с помощью факсимильной связи.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Удерживать из Перечисления сумму Комиссии Банка, суммы штрафов и иных денежных средств, указанных в Договоре или возникших вследствие нарушения Партнером Договора.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Проводить проверки Магазина в целях осуществления контроля соблюдения Партнером Договора.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одностороннем порядке вносить изменения и дополнения в Договор. Банк через Процессора уведомляет Предприятие о вносимых изменениях путем: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доведения данной информации до сведения Партнера посредством Процессора, в том числе в электронном виде с использованием технических средств последнего и публикации информации в личном кабинете Партнера;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направления письма по адресу Партнера, указанному в Анкете;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направления электронного письма на адрес электронной почты Партнера;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опубликования новой редакции Договора на сайте Процессора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710"/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/>
        <w:contextualSpacing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Приостанавливать возможность обработки необходимой для осуществления Операции информации и (или) осуществление расчетов по Операциям в следующих случаях:</w:t>
      </w:r>
      <w:r>
        <w:rPr>
          <w:color w:val="000000"/>
          <w:sz w:val="20"/>
          <w:szCs w:val="20"/>
        </w:rPr>
      </w:r>
    </w:p>
    <w:p>
      <w:pPr>
        <w:pStyle w:val="71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5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проведении Партнером Операций с нарушением Договора;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наличии Операций и (или) информации, необходимой для осуществления Операции, признанных подозрительными системой мониторинга Банка;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выявлении предоставления Партнером недостоверной информации в рамках Договора;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осуществлении Партнером видов деятельности, которые могут нанести финансовый ущерб и (или) ущерб репутации Банка;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нехарактерном для данного Партнера снижении/росте количества Операций оплаты или росте Операций возврата;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если Держатель карты отрицает совершение Операции оплаты;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наличии сведений о внесении изменений Магазином/Партнером в доменное имя сайта Магазина без предварительного уведомления Банка в порядке, предусмотренном Договором;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выявлении Банком случаев неправомерного отказа Магазина/Партнера от проведения Операции возврата или в иных случаях, когда денежные средства были неправомерно списаны со счета Держателя карт по ранее проведенной Операции оплаты;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совершении Магазином Мошеннических операций и (или) участии Партнера и (или) его работников, в т.ч. Держателей карт, в мошеннической или иной незаконной деятельности;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несоответствии Магазина/Партнера требованиям, установленным Договором.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Предоставлять в ПC и иным третьим лицам ставшую известной Банк</w:t>
      </w:r>
      <w:r>
        <w:rPr>
          <w:color w:val="000000"/>
          <w:sz w:val="20"/>
          <w:szCs w:val="20"/>
        </w:rPr>
        <w:t xml:space="preserve">у информацию, касающуюся Партнера (включая следующие реквизиты: юридический/почтовый адрес, номер телефона/факса, адрес электронной почты/сайта, банковские реквизиты, и т.д.), в целях использования данной информации в программах ПC по обеспечению безопасно</w:t>
      </w:r>
      <w:r>
        <w:rPr>
          <w:color w:val="000000"/>
          <w:sz w:val="20"/>
          <w:szCs w:val="20"/>
        </w:rPr>
        <w:t xml:space="preserve">сти и предотвращению мошенничества при проведении Операций оплаты и иных программах ПC, а также в целях обеспечения круглосуточного информационно-технологического взаимодействия для обеспечения возможности производить Операции по поручению Держателей карт.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  <w:highlight w:val="yellow"/>
        </w:rPr>
      </w:r>
      <w:r>
        <w:rPr>
          <w:color w:val="000000"/>
          <w:sz w:val="20"/>
          <w:szCs w:val="20"/>
          <w:highlight w:val="yellow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Отказать в регистрации Магазина или прекратить обслуживание ранее зарегистрированного Магазина без объяснения причин такого отказа и (или) прекращения.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Привл</w:t>
      </w:r>
      <w:r>
        <w:rPr>
          <w:color w:val="000000"/>
          <w:sz w:val="20"/>
          <w:szCs w:val="20"/>
        </w:rPr>
        <w:t xml:space="preserve">екать Процессора для осуществления информационно-технологического взаимодействия с Партнером, а также для направления Процессором информационных сообщений и (или) уведомлений в рамках исполнения Договора, по соответствующему поручению Банка и от его имени.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Списывать с банковского счета Партнера, открытого в Банке, в безакцептном порядке суммы требований Банка к Партнеру.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Требовать представления Партнером и получать от Партнера документы и сведения, предусмотренные законодательством Республики Узбекистан, Договором, при проведении идентификации Партнера и обновлении информации о Партнере.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обязуется: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2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Подключить Партнера к Системе Процессора для оказания Партн</w:t>
      </w:r>
      <w:r>
        <w:rPr>
          <w:color w:val="000000"/>
          <w:sz w:val="20"/>
          <w:szCs w:val="20"/>
        </w:rPr>
        <w:t xml:space="preserve">еру услуг, указанных в п.1.1. Договора. Подключение Партнера к Системе Процессора является действием, необходимым для установления информационно-технологического взаимодействия между Сторонами и исполнением Сторонами предусмотренных Договором обязательств.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1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режиме реального времени направлять Партнеру уведомления об Операциях;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5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Представлять Партнеру Акты об оказанных услугах в сроки и порядке согласно разделу Договора;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2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изменения своего места нахождения и/или банковских реквизитов письменно уведомлять об этом Партнера в течение 3 (трех) рабочих дней с даты наступления соответствующего события.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имеет право: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8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8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Требовать у Партнера предоставления информации об обязательствах Партнера и документов Партнера, в случае если необходимость такой информации вызвана соблюдением требований законода</w:t>
      </w:r>
      <w:r>
        <w:rPr>
          <w:color w:val="000000"/>
          <w:sz w:val="20"/>
          <w:szCs w:val="20"/>
        </w:rPr>
        <w:t xml:space="preserve">тельства Республики Узбекистан, в том числе законодательства о противодействии легализации (отмыванию) доходов, полученных преступным путем, и финансированию терроризма, или требованием Банка. В числе прочего, может быть затребована информация и документы: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8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3"/>
          <w:tab w:val="left" w:leader="none" w:pos="834"/>
          <w:tab w:val="left" w:leader="none" w:pos="2845"/>
          <w:tab w:val="left" w:leader="none" w:pos="4376"/>
          <w:tab w:val="left" w:leader="none" w:pos="6950"/>
          <w:tab w:val="left" w:leader="none" w:pos="8985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подтверждающие</w:t>
      </w:r>
      <w:r>
        <w:rPr>
          <w:color w:val="000000"/>
          <w:sz w:val="20"/>
          <w:szCs w:val="20"/>
        </w:rPr>
        <w:tab/>
        <w:t xml:space="preserve">регистрацию</w:t>
      </w:r>
      <w:r>
        <w:rPr>
          <w:color w:val="000000"/>
          <w:sz w:val="20"/>
          <w:szCs w:val="20"/>
        </w:rPr>
        <w:tab/>
        <w:t xml:space="preserve">Партнера, полномочия</w:t>
      </w:r>
      <w:r>
        <w:rPr>
          <w:color w:val="000000"/>
          <w:sz w:val="20"/>
          <w:szCs w:val="20"/>
        </w:rPr>
        <w:tab/>
        <w:t xml:space="preserve">уполномоченного</w:t>
      </w:r>
      <w:r>
        <w:rPr>
          <w:color w:val="000000"/>
          <w:sz w:val="20"/>
          <w:szCs w:val="20"/>
        </w:rPr>
        <w:tab/>
        <w:t xml:space="preserve">лица Партнера;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3"/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 способах доставки Товара Покупателям;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3"/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 источниках происхождения товаров;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3"/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 наличии у Партнера сертификатов на предоставление предлагаемых Товаров, сертификатов соответствия, гигиенических и прочих сертификатов;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3"/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 авторских правах на предлагаемые Товары.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38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Проводить аудит Партнера на предмет выявления Операций, проводимых не Держателями карт и/или предоставления Партнером Покупателям несогласованных с Процессором Товаров;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38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38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Истребовать у Партнера информацию и документы по Операциям с использованием Карт (реестры, расписки покупателей</w:t>
      </w:r>
      <w:r>
        <w:rPr>
          <w:color w:val="000000"/>
          <w:sz w:val="20"/>
          <w:szCs w:val="20"/>
        </w:rPr>
        <w:t xml:space="preserve"> в получении Товара и иные документы, обосновывающие совершение Операции). Указанные информация и документы должны быть представлены Партнером Процессору в течение 2 (двух) календарных дней с момента направления запроса по электронной почте на электронный </w:t>
      </w:r>
      <w:r>
        <w:rPr>
          <w:color w:val="000000"/>
          <w:sz w:val="20"/>
          <w:szCs w:val="20"/>
        </w:rPr>
        <w:t xml:space="preserve">адрес, указанный Партнером в качестве контактного в Анкете;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58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Размещать на своем официальном сайте </w:t>
      </w:r>
      <w:hyperlink r:id="rId9" w:tooltip="http://www.paygine.uz" w:history="1">
        <w:r>
          <w:rPr>
            <w:rStyle w:val="716"/>
            <w:sz w:val="20"/>
            <w:szCs w:val="20"/>
          </w:rPr>
          <w:t xml:space="preserve">www.paygine.uz</w:t>
        </w:r>
      </w:hyperlink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информацию о Партнере, товарный знак Партнера или третьих лиц, иное средство индивидуализации Партнера (третьих лиц), предоставленное в качестве такового Партнером;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Партнер обязуется: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8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Соблюдать положения Договора, а также выполнять требования, содержащиеся в нем.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74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7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Выплачивать Комиссию Банка в размере и порядке в соответствии с разделом 5 Договора, а также уплачивать суммы, указанные в требованиях Процессора, предусмотренных разделами 6, 8 Договора;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01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Разместить на своем интернет-сайте, указанном Партнером в Анкете, информацию о взаимодействии с Банком и Процессором по Договору;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49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Признавать обязательства Покупателей перед Партнером по оплате Товаров исполненными с момента направления Процессором Партнеру уведомления о соответствующей Операции оплаты;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6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 взимать с Покупателей вознаграждение, подлежащее уплате Банку, и не возлагать на них никаких дополнительных расходов к стоимости Товара в связи с осуществлением ими оплаты Товаров с использованием услуг Процессора;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5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Самостоятельно разрешать претензии Покупателей о возврате сумм по Операциям оплаты;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50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5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трехдневный срок извещать Банк </w:t>
      </w:r>
      <w:r>
        <w:rPr>
          <w:color w:val="000000"/>
          <w:sz w:val="20"/>
          <w:szCs w:val="20"/>
        </w:rPr>
        <w:t xml:space="preserve">и Процессора в письменном виде о любых событиях, которые могут повлиять на исполнение Договора, в том числе об изменениях своего наименования, места нахождения, фактического адреса, банковских реквизитов, адреса интернет-сайта, перечня реализуемых Товаров;</w:t>
      </w:r>
      <w:r>
        <w:rPr>
          <w:color w:val="000000"/>
          <w:sz w:val="20"/>
          <w:szCs w:val="20"/>
        </w:rPr>
      </w:r>
    </w:p>
    <w:p>
      <w:pPr>
        <w:pBdr/>
        <w:tabs>
          <w:tab w:val="left" w:leader="none" w:pos="750"/>
        </w:tabs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89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Предварительно согласовывать с Процессором раскрытие любой информации о сотрудничестве Сторон независимо от формы и способа раскрытия информации;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89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Предоставлять Процессору средства индивидуализации третьих лиц для их размещения Процессором при наличии надлежащим образом оформленного письменного согласия соответствующего третьего лица на такое размещение;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29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срок, не превышающий 2 (двух) рабочих дней, представлять Процессору отчет по Операциям, которые вызвали подозрение в совершении Операции не Держателем карты и/или в предоставлении Партнером несогласованных с Процессором Товаров;</w:t>
      </w:r>
      <w:r>
        <w:rPr>
          <w:color w:val="000000"/>
          <w:sz w:val="20"/>
          <w:szCs w:val="20"/>
        </w:rPr>
      </w:r>
    </w:p>
    <w:p>
      <w:pPr>
        <w:pBdr/>
        <w:tabs>
          <w:tab w:val="left" w:leader="none" w:pos="729"/>
        </w:tabs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61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Хранить в тайне все сведения о Держателях карт, ставших известными Партнеру в результате выполнения условий Договора;</w:t>
      </w:r>
      <w:r>
        <w:rPr>
          <w:color w:val="000000"/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005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Незамедлительно путем отправки документа в отсканированном виде с последующим пред</w:t>
      </w:r>
      <w:r>
        <w:rPr>
          <w:color w:val="000000"/>
          <w:sz w:val="20"/>
          <w:szCs w:val="20"/>
        </w:rPr>
        <w:t xml:space="preserve">оставлением Процессору документов в оригинале, информировать Процессора обо всех изменениях, связанных с платежными реквизитами, характером реализуемых Товаров, об изменениях иных документов и другой информации о Партнере, предоставленных Процессору ранее;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отс</w:t>
      </w:r>
      <w:r>
        <w:rPr>
          <w:color w:val="000000"/>
          <w:sz w:val="20"/>
          <w:szCs w:val="20"/>
        </w:rPr>
        <w:t xml:space="preserve">утствии изменений в учредительных и иных документах Партнера письменно за подписью руководителя Партнера не реже одного раза в год по требованию Процессора подтверждать актуальность и действительность предоставленной Процессору ранее информации о Партнере;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21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Направить Процессору оригинал подписанной Анкеты по адресу Процессора, указанному в Договоре не позднее 2 (двух) недель со дня проведения первой Операции Партнера;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9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Возместить Банку </w:t>
      </w:r>
      <w:r>
        <w:rPr>
          <w:color w:val="000000"/>
          <w:sz w:val="20"/>
          <w:szCs w:val="20"/>
        </w:rPr>
        <w:t xml:space="preserve">и/или Процессору суммы удержаний , указанные в п. 4.2.1. Договора, в форме штрафов по Операциям, проведенным с нарушением условий Договора, применимого законодательства Республики Узбекистан и/или правил ПС, а также по Операциям, заявленным Эмитентами как </w:t>
      </w:r>
      <w:r>
        <w:rPr>
          <w:color w:val="000000"/>
          <w:sz w:val="20"/>
          <w:szCs w:val="20"/>
        </w:rPr>
        <w:t xml:space="preserve">проведенные не Держателем карты, в течение 3 (трех) рабочих дней с момента получения требования Банка и/или Процессора;</w:t>
      </w:r>
      <w:r>
        <w:rPr>
          <w:color w:val="000000"/>
          <w:sz w:val="20"/>
          <w:szCs w:val="20"/>
        </w:rPr>
      </w:r>
    </w:p>
    <w:p>
      <w:pPr>
        <w:pStyle w:val="710"/>
        <w:pBdr/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9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Обеспеч</w:t>
      </w:r>
      <w:r>
        <w:rPr>
          <w:color w:val="000000"/>
          <w:sz w:val="20"/>
          <w:szCs w:val="20"/>
        </w:rPr>
        <w:t xml:space="preserve">ить получение от Покупателя согласия на обработку персональных данных, а также на получение рассылки в виде SMS сообщений в целях: обработки Процессором платежных операций, инициированных в электронной форме Покупателем с целью оплаты Товаров Партнера с ис</w:t>
      </w:r>
      <w:r>
        <w:rPr>
          <w:color w:val="000000"/>
          <w:sz w:val="20"/>
          <w:szCs w:val="20"/>
        </w:rPr>
        <w:t xml:space="preserve">пользованием банковской платёжной карты; передачи необходимой информации Банку для осуществления платежных операций; передачи необходимой информации ООО «Play Mobile» (ИНН: 207200524) для получения SMS сообщений с целью верификация осуществляемых платежей;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 позднее 1 (одного) рабочего дня с момента поступления запроса от Процессора предоставить документы, подтверждающие согласие Покупателя, отраженное в п. 4.5.15 Договора;</w:t>
      </w:r>
      <w:r>
        <w:rPr>
          <w:color w:val="000000"/>
          <w:sz w:val="20"/>
          <w:szCs w:val="20"/>
        </w:rPr>
      </w:r>
    </w:p>
    <w:p>
      <w:pPr>
        <w:pBdr/>
        <w:tabs>
          <w:tab w:val="left" w:leader="none" w:pos="856"/>
        </w:tabs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6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непредоставления Процессору согласия, указанного в п. 4.5.15. Д</w:t>
      </w:r>
      <w:r>
        <w:rPr>
          <w:color w:val="000000"/>
          <w:sz w:val="20"/>
          <w:szCs w:val="20"/>
        </w:rPr>
        <w:t xml:space="preserve">оговора и/или нарушения сроков п. 4.5.16. Договора, компенсировать в течение 7 (семи) календарных дней с момента поступления требования все убытки, штрафы, включая договорные, пени, понесенные на Процессором в связи отсутствием данного согласия Покупателя;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6"/>
        </w:tabs>
        <w:spacing w:after="0" w:before="0" w:line="240" w:lineRule="auto"/>
        <w:ind w:left="11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8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Самостоятельно разрешать все споры с Покупателем как субъектом персональных данных, вытекающие из нарушений законодательства о персональных данных и рекламе</w:t>
      </w:r>
      <w:r>
        <w:rPr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pStyle w:val="710"/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8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случае, если Партнер самостоятельно не обеспечивает информационно-технологическое взаимодействие с оператором фискальных данных c цель</w:t>
      </w:r>
      <w:r>
        <w:rPr>
          <w:sz w:val="20"/>
          <w:szCs w:val="20"/>
        </w:rPr>
        <w:t xml:space="preserve">ю создания, отправки, получения и хранения данных фискального чека в соответствии с действующим законодательством Республики Узбекистан, в том числе путем направления Покупателям фискальных чеков в электронной форме, то есть самостоятельно не осуществляет </w:t>
      </w:r>
      <w:r>
        <w:rPr>
          <w:sz w:val="20"/>
          <w:szCs w:val="20"/>
        </w:rPr>
        <w:t xml:space="preserve">фискализацию</w:t>
      </w:r>
      <w:r>
        <w:rPr>
          <w:sz w:val="20"/>
          <w:szCs w:val="20"/>
        </w:rPr>
        <w:t xml:space="preserve">, Партнер обязуется осуществлять </w:t>
      </w:r>
      <w:r>
        <w:rPr>
          <w:sz w:val="20"/>
          <w:szCs w:val="20"/>
        </w:rPr>
        <w:t xml:space="preserve">фискализацию</w:t>
      </w:r>
      <w:r>
        <w:rPr>
          <w:sz w:val="20"/>
          <w:szCs w:val="20"/>
        </w:rPr>
        <w:t xml:space="preserve"> через Личный кабинет и зарегистрировать Процессора через персональный кабинет налогоплательщика в качестве комиссионера в соответствии с законодательством Республики Узбекистан.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8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8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Если Партнер выполняет функции Маркетплейса, то Партнер обязуется зарегистрировать Процессора через персональный кабинет налогоплательщика в качестве комиссионера в соответствии с законодательством Респу</w:t>
      </w:r>
      <w:r>
        <w:rPr>
          <w:sz w:val="20"/>
          <w:szCs w:val="20"/>
        </w:rPr>
        <w:t xml:space="preserve">блики Узбекистан, указав при этом ИНН (ПИНФЛ) комитента. Помимо этого, Партнер гарантирует, что комитент зарегистрировал Партнера через персональный кабинет налогоплательщика в качестве комиссионера в соответствии с законодательством Республики Узбекистан.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355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Комиссия Банка и порядок расчетов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5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Размер Комиссии Банка за период, равный календарному месяцу, исчисляется на основании Акта об оказанных услугах (далее – Акт) согласно ставке, указанной Анкете.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6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Банк переводит Перечисление Партнеру по реквизитам партнера за вычетом сумм, удержанных Банко</w:t>
      </w:r>
      <w:r>
        <w:rPr>
          <w:color w:val="000000"/>
          <w:sz w:val="20"/>
          <w:szCs w:val="20"/>
        </w:rPr>
        <w:t xml:space="preserve">м в соответствии с п. 4.2.1., 4.2.2. Договора, а также удержанных Банком в пользу Процессора в соответствии с п. 5.1. Договора. Дата исполнения Банком обязательства по переводу Перечисления Партнеру считается дата списания денежных средств со счета Банка. </w:t>
      </w:r>
      <w:r>
        <w:rPr>
          <w:color w:val="000000"/>
          <w:sz w:val="20"/>
          <w:szCs w:val="20"/>
        </w:rPr>
      </w:r>
    </w:p>
    <w:p>
      <w:pPr>
        <w:pStyle w:val="710"/>
        <w:pBdr/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6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Банк вправе удержать из Перечисления Партнеру, равную оспариваемой Операции сумму согласно п. 4.2.1. Договора, и не выплачивать её до момента вынесения окончательного решения по такой спорной Операции в соо</w:t>
      </w:r>
      <w:r>
        <w:rPr>
          <w:color w:val="000000"/>
          <w:sz w:val="20"/>
          <w:szCs w:val="20"/>
        </w:rPr>
        <w:t xml:space="preserve">тветствии с правилами ПС. В случае если в рамках окончательного решения Операция не будет признана оспоренной, удержанная сумма перечисляется Банком в сроки, установленные Договором-эквайринга что при поступлении в Банк информации об оспаривании Операции (</w:t>
      </w:r>
      <w:r>
        <w:rPr>
          <w:color w:val="000000"/>
          <w:sz w:val="20"/>
          <w:szCs w:val="20"/>
        </w:rPr>
        <w:t xml:space="preserve">Chargeback</w:t>
      </w:r>
      <w:r>
        <w:rPr>
          <w:color w:val="000000"/>
          <w:sz w:val="20"/>
          <w:szCs w:val="20"/>
        </w:rPr>
        <w:t xml:space="preserve">) как проведенной с нарушением условий Договора, применимого законодательства Республики Узбекистан и/или правил ПС, и/или проведенной не Держателем карты.</w:t>
      </w:r>
      <w:r>
        <w:rPr>
          <w:color w:val="000000"/>
          <w:sz w:val="20"/>
          <w:szCs w:val="20"/>
        </w:rPr>
      </w:r>
    </w:p>
    <w:p>
      <w:pPr>
        <w:pStyle w:val="710"/>
        <w:pBdr/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6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Банк вправе приостановить выплаты Перечислений Партнеру по соответствующим Операциям оплаты в случае наличия подозрений или осн</w:t>
      </w:r>
      <w:r>
        <w:rPr>
          <w:color w:val="000000"/>
          <w:sz w:val="20"/>
          <w:szCs w:val="20"/>
        </w:rPr>
        <w:t xml:space="preserve">ования у Процессора для признания таких операций в качестве подозрительных и/или Мошеннических и/или недействительных операций, до момента получения информации о том, что данные Операции оплаты не являются Мошенническими и/или недействительными операциями.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6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 позднее седьмого числа месяца, следующего за отчетным, Процессор направляе</w:t>
      </w:r>
      <w:r>
        <w:rPr>
          <w:color w:val="000000"/>
          <w:sz w:val="20"/>
          <w:szCs w:val="20"/>
        </w:rPr>
        <w:t xml:space="preserve">т Партнеру Акт к Договору, путем добавления его в Личный кабинет. В случае если за отчетный период Процессором не было исполнено ни одного распоряжения Держателя карты о совершении Операции в пользу Партнера, Процессор вправе не предоставлять Партнеру Акт.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Партнер обязуется в течение 3 (трех) календарных дней с даты получения Акта направить Процессору сообщение о согласии c Актом или мотивированные возр</w:t>
      </w:r>
      <w:r>
        <w:rPr>
          <w:color w:val="000000"/>
          <w:sz w:val="20"/>
          <w:szCs w:val="20"/>
        </w:rPr>
        <w:t xml:space="preserve">ажения в отношении Акта. Сообщение о согласии с Актом включает в себя сообщение о согласии Партнера с указанными в Акте данными и о готовности принять и подписать Акт в системе электронного документооборота (ЭДО). При получении возражений Партнера в отноше</w:t>
      </w:r>
      <w:r>
        <w:rPr>
          <w:color w:val="000000"/>
          <w:sz w:val="20"/>
          <w:szCs w:val="20"/>
        </w:rPr>
        <w:t xml:space="preserve">нии Акта, в случае если возражения Партнера относительно сумм, содержащихся в Акте, будут признаны обоснованными, Стороны обязуются в срок не позднее 3 (трех) рабочих дней с даты получения Процессором возражений Партнера составить акт о расхождении данных </w:t>
      </w:r>
      <w:r>
        <w:rPr>
          <w:color w:val="000000"/>
          <w:sz w:val="20"/>
          <w:szCs w:val="20"/>
        </w:rPr>
        <w:t xml:space="preserve">и учесть содержащиеся в нем суммы в Акте за следующий отчетный период. В случае неполучения от Партнера сообщения о согласии с Актом или мотивированного возражения в отношении Акта в указанный в настоящем пункте срок, Акт считается согласованным сторонами.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получения сообщения о согласии с Актом, равно как и при отсутствии сообщения о согласии с Актом или мотивированного возражения в отношении Акта от Партнера в установленный в п. 5.6 Договора сро</w:t>
      </w:r>
      <w:r>
        <w:rPr>
          <w:color w:val="000000"/>
          <w:sz w:val="20"/>
          <w:szCs w:val="20"/>
        </w:rPr>
        <w:t xml:space="preserve">к, Процессор направляет Акт в системе ЭДО. Партнер обязуется в течение 3 (трех) дней с момента получения Акта в системе ЭДО принять Акт. Партнер не вправе отказаться от принятия Акта в системе ЭДО или направить мотивированные возражения в отношении Акта, т</w:t>
      </w:r>
      <w:r>
        <w:rPr>
          <w:color w:val="000000"/>
          <w:sz w:val="20"/>
          <w:szCs w:val="20"/>
        </w:rPr>
        <w:t xml:space="preserve">ак как Акт считается согласованным сторонами с момента направления сообщения о согласии с Актом Партнером или истечения срока, установленного в п. 5.6 Договора, при отсутствии сообщения о согласии или мотивированных возражений в отношении Акта от Партнера.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Если Партнер нарушит срок принятия Акта в системе ЭДО, указа</w:t>
      </w:r>
      <w:r>
        <w:rPr>
          <w:color w:val="000000"/>
          <w:sz w:val="20"/>
          <w:szCs w:val="20"/>
        </w:rPr>
        <w:t xml:space="preserve">нный в п. 5.7. Договора, Партнер обязуется компенсировать убытки Процессора, в случае их возникновения, а также уплатить пени в размере 10% от суммы такого Акта в срок не позднее 5 (пяти) рабочих дней с момента направления требования со стороны Процессора.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необходимости, в случае если Партнер и/или Покупатель является нерезидентом Республики Узбекистан, при оказании Процессором услуг по Договору применяется обменный курс, установленный банком-эмитентом или банком-отправителем.</w:t>
      </w:r>
      <w:r>
        <w:rPr>
          <w:color w:val="000000"/>
          <w:sz w:val="20"/>
          <w:szCs w:val="20"/>
        </w:rPr>
      </w:r>
    </w:p>
    <w:p>
      <w:pPr>
        <w:pBdr/>
        <w:tabs>
          <w:tab w:val="left" w:leader="none" w:pos="563"/>
        </w:tabs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355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Условия возврата/отмены Операции</w:t>
      </w:r>
      <w:r>
        <w:rPr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82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возврате Держателем карты Товара, оплаченного по Карте (отказе от работы, услуги), при отмене операции оплаты Партнер оформляет документы в соответствии со следующей процедурой: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82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69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Отказ физического лица — пользователя Сайта Партнера, Держателя карты от Товара происходит по инициативе Держателя карты в соответствии с действующим законодательством Республики Узбекистан;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2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7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После получения от Держателя карты требования о возврате уплаченных средств на счет Карты в соответствии с действующим законодательством Республики Узбекистан, а также согласно условиям пользовательского соглашения, между Партнером и Покупателем, Партнер: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7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9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проверяет наличие операции по оплате Товара в своей базе данных (автоматизированная система расчетов за Товары Партнера), а также подтверждает возможность ее отмены;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97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9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успешной проверки и подтверждения возможности отмены операции по оплате Товара, формирует данные для совершения Операции возврата и передает в Систему вместе с номером и суммой исходной Операции и прочими данными;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97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9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Система с момента получения от Партнера данных проверяет корректность формата данных для совершения Операции возврата, и, при соответствии полученного запроса установленным нормативам, запрос из Системы передается Эмитенту;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97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3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005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После получения от Эмитента подтверждения о положительном результате Операции возврата Партнер завершает процедуру возврата. В случае, если подтверждение не получено в течение 3 </w:t>
      </w:r>
      <w:r>
        <w:rPr>
          <w:color w:val="000000"/>
          <w:sz w:val="20"/>
          <w:szCs w:val="20"/>
        </w:rPr>
        <w:t xml:space="preserve">(трех) рабочих дней, Партнер инициирует письменный запрос Процессору.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Банк вправе взыскать сумму возврата/отмены из суммы последующих перечислений Партнеру по Операциям оплаты. При этом, Комиссия Банка, удержанная Банком ранее, не возвращается.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7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7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случае, если сумма последующего перечисления Партнеру в течение 3 (трех) рабочих дней с момента получения Партнером требования Процессора (Банка) о взимании суммы отмены/воз</w:t>
      </w:r>
      <w:r>
        <w:rPr>
          <w:color w:val="000000"/>
          <w:sz w:val="20"/>
          <w:szCs w:val="20"/>
        </w:rPr>
        <w:t xml:space="preserve">врата не достигает величины суммы возврата/отмены Держателю карты, Партнер поручает Процессору обеспечить наличие распоряжения Банку удерживать суммы возврата/отмены без дополнительных распоряжений (акцепта) Партнера из сумм, подлежащих переводу Партнеру.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7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7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отсутствия/недостаточности денежных средств для удержания суммы возврата/отмены Партнер обязан перечислить Процессору сумму возвр</w:t>
      </w:r>
      <w:r>
        <w:rPr>
          <w:color w:val="000000"/>
          <w:sz w:val="20"/>
          <w:szCs w:val="20"/>
        </w:rPr>
        <w:t xml:space="preserve">ата/отмены на его счет, с целью компенсации ущерба, вызванного взысканием указанной суммы возврата/отмены с Процессора. Данное перечисление должно быть осуществлено в течение 3 (трех) рабочих дней со дня направления Процессором соответствующего требования.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Партнер подтверждает, что установленные п. 6.2. Договора поручения Партнера являются акцептом Партнера требований Банка на списание денежных средств из сумм, подлежащих переводу Партнеру в соответствии с Договором (заранее данный акцепт).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355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Защита от несанкционированных платежей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42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осуществляет оказание услуг, указанных в п. 1.1. Договора, в соответствии с требованиями стандарта безопасности данных, включающего в себя требования ПС к обеспечению информационной безопасности — PCI DSS.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4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Покупатель при использовании Карты для оплаты Товаров Партнера проходит процедуру идентификации, установленную соглашением между Держателем карты и Эмитентом.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2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получения Пр</w:t>
      </w:r>
      <w:r>
        <w:rPr>
          <w:color w:val="000000"/>
          <w:sz w:val="20"/>
          <w:szCs w:val="20"/>
        </w:rPr>
        <w:t xml:space="preserve">оцессором от Банка, Эмитента и/или ПС информации о том, что платеж за Товары, по которому была проведена Операция оплаты, является несанкционированным, Банк вправе произвести удержание суммы несанкционированного платежа в соответствии с п. 4.2.1. Договора.</w:t>
      </w:r>
      <w:r>
        <w:rPr>
          <w:color w:val="000000"/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355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Ответственность Сторон и порядок разрешения споров</w:t>
      </w:r>
      <w:r>
        <w:rPr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78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не несет ответственности перед Покупателями за исполнение Партнером своих обязательств перед ними.</w:t>
      </w:r>
      <w:r>
        <w:rPr>
          <w:color w:val="000000"/>
          <w:sz w:val="20"/>
          <w:szCs w:val="20"/>
        </w:rPr>
      </w:r>
    </w:p>
    <w:p>
      <w:pPr>
        <w:pBdr/>
        <w:tabs>
          <w:tab w:val="left" w:leader="none" w:pos="578"/>
        </w:tabs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9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Партнер самостоятельно разрешает любые споры с Покупателями, возникающие в случае несоответствия суммы совершенного Процессором перевода тарифам (прейскурантам) Партнера.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3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вступления в законную силу решения суда о взыскании с Банка и/или Процессора в пользу третьего лица денежных средств по основанию неправомерного (в</w:t>
      </w:r>
      <w:r>
        <w:rPr>
          <w:color w:val="000000"/>
          <w:sz w:val="20"/>
          <w:szCs w:val="20"/>
        </w:rPr>
        <w:t xml:space="preserve"> отсутствие письменного согласия соответствующего лица) использования Процессором средства индивидуализации данного лица, предоставленного Партнером в качестве такового, Партнер обязуется при условии совершения Процессором действий, предусмотренных абзацем</w:t>
      </w:r>
      <w:r>
        <w:rPr>
          <w:color w:val="000000"/>
          <w:sz w:val="20"/>
          <w:szCs w:val="20"/>
        </w:rPr>
        <w:t xml:space="preserve"> вторым настоящего пункта, в течение 10 (десяти) рабочих дней с даты получения соответствующей претензии Процессора с приложением копии вступившего в законную силу решения суда, возместить Процессору причиненные убытки в размере полной суммы, взысканной с </w:t>
      </w:r>
      <w:r>
        <w:rPr>
          <w:color w:val="000000"/>
          <w:sz w:val="20"/>
          <w:szCs w:val="20"/>
        </w:rPr>
        <w:t xml:space="preserve">с</w:t>
      </w:r>
      <w:r>
        <w:rPr>
          <w:color w:val="000000"/>
          <w:sz w:val="20"/>
          <w:szCs w:val="20"/>
        </w:rPr>
        <w:t xml:space="preserve"> Банка и/или Процессора в пользу третьего лица на основании соответствующего судебного акта, включая взысканную с </w:t>
      </w:r>
      <w:r>
        <w:rPr>
          <w:color w:val="000000"/>
          <w:sz w:val="20"/>
          <w:szCs w:val="20"/>
        </w:rPr>
        <w:t xml:space="preserve">с</w:t>
      </w:r>
      <w:r>
        <w:rPr>
          <w:color w:val="000000"/>
          <w:sz w:val="20"/>
          <w:szCs w:val="20"/>
        </w:rPr>
        <w:t xml:space="preserve"> Банка и/или Процессора сумму судебных расходов.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предъявления третьим лицом иска к Банку и/или Процессору по основанию, указанному в абзаце первом настояще</w:t>
      </w:r>
      <w:r>
        <w:rPr>
          <w:color w:val="000000"/>
          <w:sz w:val="20"/>
          <w:szCs w:val="20"/>
        </w:rPr>
        <w:t xml:space="preserve">го пункта, Банк и/или Процессор обязуется уведомить Партнера о принятии такого иска к производству и заявить в предварительном судебном заседании первой инстанции ходатайство о привлечении Партнера к участию в соответствующем деле в качестве третьего лица.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firstLine="0" w:left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возникновения убытков, штрафов, пени или иных требований, предъявляемых к Банку и/или Процессору в связи с нарушением Партнером правил ПС, законодательства Республики Узбекистан, </w:t>
      </w:r>
      <w:r>
        <w:rPr>
          <w:color w:val="000000"/>
          <w:sz w:val="20"/>
          <w:szCs w:val="20"/>
        </w:rPr>
        <w:t xml:space="preserve">включая ненадлежащее исполнение обязанности Партнера обеспечивать информационно-технологическое взаимодействи</w:t>
      </w:r>
      <w:r>
        <w:rPr>
          <w:color w:val="000000"/>
          <w:sz w:val="20"/>
          <w:szCs w:val="20"/>
        </w:rPr>
        <w:t xml:space="preserve">е с оператором фискальных данных c целью создания, отправки, получения и хранения данных фискального чека в соответствии с действующим законодательством Республики Узбекистан, в том числе путем направления Покупателям фискальных чеков в электронной форме, </w:t>
      </w:r>
      <w:r>
        <w:rPr>
          <w:sz w:val="20"/>
          <w:szCs w:val="20"/>
        </w:rPr>
        <w:t xml:space="preserve">осуществляемое</w:t>
      </w:r>
      <w:r>
        <w:rPr>
          <w:color w:val="000000"/>
          <w:sz w:val="20"/>
          <w:szCs w:val="20"/>
        </w:rPr>
        <w:t xml:space="preserve"> как </w:t>
      </w:r>
      <w:r>
        <w:rPr>
          <w:sz w:val="20"/>
          <w:szCs w:val="20"/>
        </w:rPr>
        <w:t xml:space="preserve">Партнером самостоятельно, так и с использованием Личного кабинета, </w:t>
      </w:r>
      <w:r>
        <w:rPr>
          <w:color w:val="000000"/>
          <w:sz w:val="20"/>
          <w:szCs w:val="20"/>
        </w:rPr>
        <w:t xml:space="preserve">Партнер обязуется возместить Банку и/или Процессору указанные убытки, штрафы, пени или иные требования в размере полной суммы, взысканной с Банка и/или Процессора.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1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1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нарушении</w:t>
      </w:r>
      <w:r>
        <w:rPr>
          <w:color w:val="000000"/>
          <w:sz w:val="20"/>
          <w:szCs w:val="20"/>
        </w:rPr>
        <w:t xml:space="preserve"> Партнером установленного п. 6.2. Договора срока перечисления денежных средств, Партнер обязуется уплатить неустойку в размере 0,2 % (ноль целых две десятых процента) от суммы, подлежащей перечислению, за каждый день просрочки, но не более 10% такой суммы.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1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1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нарушении Банком установленного п. 4.1.2. Договора срока перечисления денежных средств, при условии отсутс</w:t>
      </w:r>
      <w:r>
        <w:rPr>
          <w:color w:val="000000"/>
          <w:sz w:val="20"/>
          <w:szCs w:val="20"/>
        </w:rPr>
        <w:t xml:space="preserve">твии оснований позволяющих Банку не осуществлять перечисление согласно Договору, Партнер вправе требовать неустойку в размере 0,2 % (ноль целых две десятых процента) от суммы, подлежащей перечислению, за каждый день просрочки, но не более 10% такой суммы,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1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9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Процессор не несет ответственности за возможные убытки Партнера, связанные с прекращением Процессором оказания услуг, а также прекращением Банком проведения Операций в случаях, указанных в п. 3.4., 3.6. Договора, а также, если не доказана пряма</w:t>
      </w:r>
      <w:r>
        <w:rPr>
          <w:color w:val="000000"/>
          <w:sz w:val="20"/>
          <w:szCs w:val="20"/>
        </w:rPr>
        <w:t xml:space="preserve">я вина Процессора в таком прекращении, в том числе, когда такое прекращение оказания услуг вызвано действиями третьих лиц и/или поставщиков услуг Процессора. В свою очередь ответственность за расходы Банка по Операциям возврата несет исключительно Партнер.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97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25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Любые споры и разногласия Сторон по Договору или в связи с ним должны быть урегулиро</w:t>
      </w:r>
      <w:r>
        <w:rPr>
          <w:color w:val="000000"/>
          <w:sz w:val="20"/>
          <w:szCs w:val="20"/>
        </w:rPr>
        <w:t xml:space="preserve">ваны путем переговоров. Претензия считается надлежащим образом доставленной, если она отправлена одной Стороной на юридический адрес другой Стороны, указанный в Договоре или Анкете, либо на электронный адрес другой Стороны, указанный в Договоре или Анкете.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25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25"/>
        </w:tabs>
        <w:spacing w:after="0" w:before="0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Сторона, получившая Претензию, обязана дать на нее письменный ответ в течение 30 (тридцати) календарных дней с момента получения Претензии.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25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85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Любые споры и разногласия Сторон по Договору или в связи с ним, которые не были урегулированы путем переговоров Сторон, подлежат разрешению в Ташкентском межрайонном экономическом суде.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25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left" w:leader="none" w:pos="355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Конфиденциальность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Факт заключения Договора не рассматривается Сторонами как конфиденциальная информация.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66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обязуются не разглашать третьим лицам следующую информацию: 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 условия Договора;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 количестве и сумме переводов, информация о которых передана Партнеру;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 статистических данных, основанных на сравнении сумм переводов, информация о которых передана Процессором, и данных о переводах других Процессоров по переводу;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34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прочую информацию, полученную Сторонами в ходе выполнения своих обязательств по Договору, за исключением случаев, когда Сторона обязана предоставить такую информацию в соответствии с законодательством Республики Узбекистан.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num" w:leader="none" w:pos="360"/>
          <w:tab w:val="left" w:leader="none" w:pos="474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Срок действия и порядок прекращения договора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5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Договор действует в течение </w:t>
      </w:r>
      <w:r>
        <w:rPr>
          <w:sz w:val="20"/>
          <w:szCs w:val="20"/>
        </w:rPr>
        <w:t xml:space="preserve">5</w:t>
      </w:r>
      <w:r>
        <w:rPr>
          <w:color w:val="000000"/>
          <w:sz w:val="20"/>
          <w:szCs w:val="20"/>
        </w:rPr>
        <w:t xml:space="preserve"> (</w:t>
      </w:r>
      <w:r>
        <w:rPr>
          <w:sz w:val="20"/>
          <w:szCs w:val="20"/>
        </w:rPr>
        <w:t xml:space="preserve">пяти</w:t>
      </w:r>
      <w:r>
        <w:rPr>
          <w:color w:val="000000"/>
          <w:sz w:val="20"/>
          <w:szCs w:val="20"/>
        </w:rPr>
        <w:t xml:space="preserve">) </w:t>
      </w:r>
      <w:r>
        <w:rPr>
          <w:sz w:val="20"/>
          <w:szCs w:val="20"/>
        </w:rPr>
        <w:t xml:space="preserve">лет</w:t>
      </w:r>
      <w:r>
        <w:rPr>
          <w:color w:val="000000"/>
          <w:sz w:val="20"/>
          <w:szCs w:val="20"/>
        </w:rPr>
        <w:t xml:space="preserve"> с даты его заключения.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66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Срок действия Договора автоматически п</w:t>
      </w:r>
      <w:r>
        <w:rPr>
          <w:color w:val="000000"/>
          <w:sz w:val="20"/>
          <w:szCs w:val="20"/>
        </w:rPr>
        <w:t xml:space="preserve">родлевается на 12 (двенадцать) календарных месяцев в случае, если ни одна из Сторон не уведомляет другую Сторону в письменной форме на бумажном носителе о своем нежелании продлевать срок действия Договора не менее чем за 30 (тридцать) календарных дней до и</w:t>
      </w:r>
      <w:r>
        <w:rPr>
          <w:color w:val="000000"/>
          <w:sz w:val="20"/>
          <w:szCs w:val="20"/>
        </w:rPr>
        <w:t xml:space="preserve">стечения срока (в том числе очередного) его действия. Такое уведомление не рассматривается Сторонами как односторонний отказ от исполнения Договора. Срок действия Договора может быть продлен в соответствии с настоящим пунктом неограниченное количество раз.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34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Любая из Сторон вправе в одностороннем порядке отказаться от дальнейшего исполнения Договора. Для этих целей она в письменной форме уведомляет другую сторону о своем намерени</w:t>
      </w:r>
      <w:r>
        <w:rPr>
          <w:color w:val="000000"/>
          <w:sz w:val="20"/>
          <w:szCs w:val="20"/>
        </w:rPr>
        <w:t xml:space="preserve">и отказаться от исполнения Договора не позднее, чем за 30 (тридцать) календарных дней до предполагаемой даты отказа от исполнения. Уведомление должно быть сделано в письменной форме на бумажном носителе и содержать указание на причину расторжения Договора.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29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отношении указанного в п. 5.4. Договора обязательства Партнера возместить Процессору уплаченные Банку суммы удержаний, отношения Сторон продолжаются в течение 180 (ста восьмидесяти) дней с момента прекращения Договора.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29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  <w:tab w:val="left" w:leader="none" w:pos="3954"/>
          <w:tab w:val="left" w:leader="none" w:pos="5210"/>
          <w:tab w:val="left" w:leader="none" w:pos="6009"/>
          <w:tab w:val="left" w:leader="none" w:pos="8205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Все прочие обязательства Сторон по Договору, возникшие до его прекращения, сохраняются вплоть до их полного исполнения.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3"/>
        <w:numPr>
          <w:ilvl w:val="0"/>
          <w:numId w:val="1"/>
        </w:numPr>
        <w:pBdr/>
        <w:tabs>
          <w:tab w:val="num" w:leader="none" w:pos="360"/>
          <w:tab w:val="left" w:leader="none" w:pos="474"/>
        </w:tabs>
        <w:spacing w:after="0" w:before="0" w:line="240" w:lineRule="auto"/>
        <w:ind w:firstLine="0" w:left="0"/>
        <w:rPr>
          <w:sz w:val="20"/>
          <w:szCs w:val="20"/>
        </w:rPr>
      </w:pPr>
      <w:r>
        <w:rPr>
          <w:sz w:val="20"/>
          <w:szCs w:val="20"/>
        </w:rPr>
        <w:t xml:space="preserve">Прочие условия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17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Все приложения к Договору являются его неотъемлемыми частями. Приложения на момент заключения Договора:</w:t>
      </w:r>
      <w:r>
        <w:rPr>
          <w:color w:val="000000"/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Приложение №1</w:t>
      </w:r>
      <w:r>
        <w:rPr>
          <w:sz w:val="20"/>
          <w:szCs w:val="20"/>
        </w:rPr>
        <w:t xml:space="preserve"> – Анкета Партнера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139700</wp:posOffset>
                </wp:positionV>
                <wp:extent cx="6350" cy="12700"/>
                <wp:effectExtent l="0" t="0" r="0" b="0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324728" y="3776825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111.00pt;mso-position-horizontal:absolute;mso-position-vertical-relative:text;margin-top:11.00pt;mso-position-vertical:absolute;width:0.50pt;height:1.00pt;mso-wrap-distance-left:9.00pt;mso-wrap-distance-top:0.00pt;mso-wrap-distance-right:9.00pt;mso-wrap-distance-bottom:0.00pt;v-text-anchor:middle;visibility:visible;" fillcolor="#000000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Приложение №2 – </w:t>
      </w:r>
      <w:r>
        <w:rPr>
          <w:sz w:val="20"/>
          <w:szCs w:val="20"/>
        </w:rPr>
        <w:t xml:space="preserve">Форма Акта об оказанных услугах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Приложение №3 – </w:t>
      </w:r>
      <w:r>
        <w:rPr>
          <w:sz w:val="20"/>
          <w:szCs w:val="20"/>
        </w:rPr>
        <w:t xml:space="preserve">Требования к Сайту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Bdr/>
        <w:spacing w:after="0" w:before="0"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Приложение №4 – Порядок проведения претензионной работы.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86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соответствии с абз.1 ст. 382 ГК Республики Узбекистан, Процессор имеет право вносить изменения в условия Договора с учетом треб</w:t>
      </w:r>
      <w:r>
        <w:rPr>
          <w:color w:val="000000"/>
          <w:sz w:val="20"/>
          <w:szCs w:val="20"/>
        </w:rPr>
        <w:t xml:space="preserve">ований законодательства Республики Узбекистан. При этом изменения, внесенные Процессором в Договор, становятся обязательными для Сторон через 7 (семь) календарных дней с даты размещения Процессором новой редакции Договора на сайте Процессора или в Системе.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86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86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/>
      <w:bookmarkStart w:id="1" w:name="_heading=h.30j0zll"/>
      <w:r/>
      <w:bookmarkEnd w:id="1"/>
      <w:r>
        <w:rPr>
          <w:color w:val="000000"/>
          <w:sz w:val="20"/>
          <w:szCs w:val="20"/>
        </w:rPr>
        <w:t xml:space="preserve">Стороны приз</w:t>
      </w:r>
      <w:r>
        <w:rPr>
          <w:color w:val="000000"/>
          <w:sz w:val="20"/>
          <w:szCs w:val="20"/>
        </w:rPr>
        <w:t xml:space="preserve">нают надлежащим образом направленными любые уведомления и корреспонденцию в случае, если отправка совершена в письменной форме по адресу, указанному в Договоре и Анкете. Наряду с этим, Стороны признают надлежащими следующие способы уведомления по Договору: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86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посредством размещения информации на сайте Процессора или в Системе – для уведомлений об изменениях в тексте Договора, Тарифах, иных документах, касающихся широкого круга лиц, а также об отклонениях в режиме и графике работы Процессора и Системы;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86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посредством размещения Процессором информации в Личном кабинете Партнера – для уведомлений и новостей, касающихся как широкого круга лиц, так и персонально Партнера;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0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 использованием электронной почты, указанной Партнером в Анкете – для уведомлений, отправляемых Процессором в адрес Партнера о событиях, касающихся как широкого круга лиц, так и персонально Партнера.</w:t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Ни одна из Сторон не вправе передать свои права и обязанности по Договору третьим лицам без письменного на то согласия другой стороны.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0"/>
        </w:tabs>
        <w:spacing w:after="0" w:before="0" w:line="24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false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10"/>
        </w:tabs>
        <w:spacing w:after="0" w:before="0" w:line="240" w:lineRule="auto"/>
        <w:ind w:firstLine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согласовывают, что лицами, ответственными за исполнение Договора, на момент его заключения являются:</w:t>
      </w:r>
      <w:r>
        <w:rPr>
          <w:color w:val="000000"/>
          <w:sz w:val="20"/>
          <w:szCs w:val="20"/>
        </w:rPr>
      </w:r>
    </w:p>
    <w:p>
      <w:pPr>
        <w:pStyle w:val="683"/>
        <w:pBdr/>
        <w:spacing w:after="0" w:before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56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565"/>
      </w:tblGrid>
      <w:tr>
        <w:trPr/>
        <w:tc>
          <w:tcPr>
            <w:tcBorders/>
            <w:tcW w:w="9565" w:type="dxa"/>
            <w:textDirection w:val="lrTb"/>
            <w:noWrap w:val="false"/>
          </w:tcPr>
          <w:p>
            <w:pPr>
              <w:pStyle w:val="683"/>
              <w:pBdr/>
              <w:spacing w:after="0" w:before="0" w:line="240" w:lineRule="auto"/>
              <w:ind w:firstLine="0"/>
              <w:rPr>
                <w:sz w:val="20"/>
                <w:szCs w:val="20"/>
              </w:rPr>
            </w:pPr>
            <w:r/>
            <w:bookmarkStart w:id="2" w:name="_heading=h.1fob9te"/>
            <w:r/>
            <w:bookmarkEnd w:id="2"/>
            <w:r>
              <w:rPr>
                <w:sz w:val="20"/>
                <w:szCs w:val="20"/>
              </w:rPr>
              <w:t xml:space="preserve">От Процессора - </w:t>
            </w:r>
            <w:r>
              <w:rPr>
                <w:sz w:val="20"/>
                <w:szCs w:val="20"/>
              </w:rPr>
            </w:r>
          </w:p>
          <w:p>
            <w:pPr>
              <w:pStyle w:val="683"/>
              <w:pBdr/>
              <w:spacing w:after="0" w:before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85"/>
        </w:trPr>
        <w:tc>
          <w:tcPr>
            <w:tcBorders/>
            <w:tcW w:w="9565" w:type="dxa"/>
            <w:textDirection w:val="lrTb"/>
            <w:noWrap w:val="false"/>
          </w:tcPr>
          <w:p>
            <w:pPr>
              <w:pStyle w:val="683"/>
              <w:pBdr/>
              <w:spacing w:after="0" w:before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</w:r>
          </w:p>
          <w:p>
            <w:pPr>
              <w:pStyle w:val="683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Бахадиров Алишер Комилович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83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+ 998 90 371-00-02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83"/>
              <w:pBdr/>
              <w:spacing w:after="0"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alisher.bakhadirov@paygine.net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Бухгалтерия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accounting@paygine.net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Служба</w:t>
            </w:r>
            <w:r>
              <w:rPr>
                <w:b/>
                <w:sz w:val="20"/>
                <w:szCs w:val="20"/>
                <w:lang w:val="en-US"/>
              </w:rPr>
              <w:t xml:space="preserve"> </w:t>
            </w:r>
            <w:r>
              <w:rPr>
                <w:b/>
                <w:sz w:val="20"/>
                <w:szCs w:val="20"/>
              </w:rPr>
              <w:t xml:space="preserve">поддержки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support@paygine.net</w:t>
            </w:r>
            <w:r>
              <w:rPr>
                <w:bCs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W w:w="956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565"/>
      </w:tblGrid>
      <w:tr>
        <w:trPr/>
        <w:tc>
          <w:tcPr>
            <w:tcBorders/>
            <w:tcW w:w="95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Юридический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 </w:t>
            </w:r>
            <w:r>
              <w:rPr>
                <w:b/>
                <w:color w:val="000000"/>
                <w:sz w:val="20"/>
                <w:szCs w:val="20"/>
              </w:rPr>
              <w:t xml:space="preserve">адрес:</w:t>
            </w:r>
            <w:r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bCs/>
                <w:color w:val="000000"/>
                <w:sz w:val="20"/>
                <w:szCs w:val="20"/>
              </w:rPr>
              <w:t xml:space="preserve">г. Ташкент, </w:t>
            </w:r>
            <w:r>
              <w:rPr>
                <w:bCs/>
                <w:color w:val="000000"/>
                <w:sz w:val="20"/>
                <w:szCs w:val="20"/>
              </w:rPr>
              <w:t xml:space="preserve">Мирабадский</w:t>
            </w:r>
            <w:r>
              <w:rPr>
                <w:bCs/>
                <w:color w:val="000000"/>
                <w:sz w:val="20"/>
                <w:szCs w:val="20"/>
              </w:rPr>
              <w:t xml:space="preserve"> район, улица </w:t>
            </w:r>
            <w:r>
              <w:rPr>
                <w:bCs/>
                <w:color w:val="000000"/>
                <w:sz w:val="20"/>
                <w:szCs w:val="20"/>
              </w:rPr>
              <w:t xml:space="preserve">Афросиеб</w:t>
            </w:r>
            <w:r>
              <w:rPr>
                <w:bCs/>
                <w:color w:val="000000"/>
                <w:sz w:val="20"/>
                <w:szCs w:val="20"/>
              </w:rPr>
              <w:t xml:space="preserve"> 14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5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От Банка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(+998 71) 200-15-15</w:t>
            </w:r>
            <w:r>
              <w:rPr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Юридический адрес: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Адрес: 100047 г. Ташкент, Юнус-</w:t>
            </w:r>
            <w:r>
              <w:rPr>
                <w:bCs/>
                <w:sz w:val="20"/>
                <w:szCs w:val="20"/>
              </w:rPr>
              <w:t xml:space="preserve">абадский</w:t>
            </w:r>
            <w:r>
              <w:rPr>
                <w:bCs/>
                <w:sz w:val="20"/>
                <w:szCs w:val="20"/>
              </w:rPr>
              <w:t xml:space="preserve"> район ул. </w:t>
            </w:r>
            <w:r>
              <w:rPr>
                <w:bCs/>
                <w:sz w:val="20"/>
                <w:szCs w:val="20"/>
              </w:rPr>
              <w:t xml:space="preserve">Сайилгох</w:t>
            </w:r>
            <w:r>
              <w:rPr>
                <w:bCs/>
                <w:sz w:val="20"/>
                <w:szCs w:val="20"/>
              </w:rPr>
              <w:t xml:space="preserve"> 7</w:t>
            </w:r>
            <w:r>
              <w:rPr>
                <w:bCs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40" w:lineRule="auto"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Noto Sans Symbols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555" w:left="114"/>
      </w:pPr>
      <w:rPr/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555" w:left="114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55" w:left="114"/>
      </w:pPr>
      <w:rPr>
        <w:rFonts w:ascii="Times New Roman" w:hAnsi="Times New Roman" w:eastAsia="Times New Roman" w:cs="Times New Roman"/>
        <w:b w:val="0"/>
        <w:i w:val="0"/>
        <w:sz w:val="20"/>
        <w:szCs w:val="2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82" w:left="924"/>
      </w:pPr>
      <w:rPr>
        <w:rFonts w:ascii="Times New Roman" w:hAnsi="Times New Roman" w:eastAsia="Times New Roman" w:cs="Times New Roman"/>
        <w:b w:val="0"/>
        <w:i w:val="0"/>
        <w:sz w:val="20"/>
        <w:szCs w:val="20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83" w:left="400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83" w:left="49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82" w:left="595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83" w:left="692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83" w:left="7895"/>
      </w:pPr>
      <w:rPr/>
      <w:start w:val="0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5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  <w:i w:val="0"/>
        <w:sz w:val="20"/>
        <w:szCs w:val="2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b w:val="0"/>
        <w:i w:val="0"/>
        <w:sz w:val="20"/>
        <w:szCs w:val="2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504"/>
      </w:pPr>
      <w:rPr>
        <w:b w:val="0"/>
        <w:i w:val="0"/>
        <w:sz w:val="20"/>
        <w:szCs w:val="2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b w:val="0"/>
        <w:i w:val="0"/>
        <w:sz w:val="20"/>
        <w:szCs w:val="2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92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2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2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2"/>
    <w:link w:val="6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2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2"/>
    <w:link w:val="6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2"/>
    <w:link w:val="6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2"/>
    <w:link w:val="6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2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2"/>
    <w:link w:val="7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2"/>
    <w:link w:val="70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2"/>
    <w:link w:val="7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2"/>
    <w:link w:val="712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8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92"/>
    <w:link w:val="175"/>
    <w:uiPriority w:val="99"/>
    <w:pPr>
      <w:pBdr/>
      <w:spacing/>
      <w:ind/>
    </w:pPr>
  </w:style>
  <w:style w:type="paragraph" w:styleId="177">
    <w:name w:val="Footer"/>
    <w:basedOn w:val="68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92"/>
    <w:link w:val="177"/>
    <w:uiPriority w:val="99"/>
    <w:pPr>
      <w:pBdr/>
      <w:spacing/>
      <w:ind/>
    </w:pPr>
  </w:style>
  <w:style w:type="paragraph" w:styleId="179">
    <w:name w:val="Caption"/>
    <w:basedOn w:val="682"/>
    <w:next w:val="6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2"/>
    <w:next w:val="682"/>
    <w:uiPriority w:val="39"/>
    <w:unhideWhenUsed/>
    <w:pPr>
      <w:pBdr/>
      <w:spacing w:after="100"/>
      <w:ind/>
    </w:pPr>
  </w:style>
  <w:style w:type="paragraph" w:styleId="189">
    <w:name w:val="toc 2"/>
    <w:basedOn w:val="682"/>
    <w:next w:val="682"/>
    <w:uiPriority w:val="39"/>
    <w:unhideWhenUsed/>
    <w:pPr>
      <w:pBdr/>
      <w:spacing w:after="100"/>
      <w:ind w:left="220"/>
    </w:pPr>
  </w:style>
  <w:style w:type="paragraph" w:styleId="190">
    <w:name w:val="toc 3"/>
    <w:basedOn w:val="682"/>
    <w:next w:val="682"/>
    <w:uiPriority w:val="39"/>
    <w:unhideWhenUsed/>
    <w:pPr>
      <w:pBdr/>
      <w:spacing w:after="100"/>
      <w:ind w:left="440"/>
    </w:pPr>
  </w:style>
  <w:style w:type="paragraph" w:styleId="191">
    <w:name w:val="toc 4"/>
    <w:basedOn w:val="682"/>
    <w:next w:val="682"/>
    <w:uiPriority w:val="39"/>
    <w:unhideWhenUsed/>
    <w:pPr>
      <w:pBdr/>
      <w:spacing w:after="100"/>
      <w:ind w:left="660"/>
    </w:pPr>
  </w:style>
  <w:style w:type="paragraph" w:styleId="192">
    <w:name w:val="toc 5"/>
    <w:basedOn w:val="682"/>
    <w:next w:val="682"/>
    <w:uiPriority w:val="39"/>
    <w:unhideWhenUsed/>
    <w:pPr>
      <w:pBdr/>
      <w:spacing w:after="100"/>
      <w:ind w:left="880"/>
    </w:pPr>
  </w:style>
  <w:style w:type="paragraph" w:styleId="193">
    <w:name w:val="toc 6"/>
    <w:basedOn w:val="682"/>
    <w:next w:val="682"/>
    <w:uiPriority w:val="39"/>
    <w:unhideWhenUsed/>
    <w:pPr>
      <w:pBdr/>
      <w:spacing w:after="100"/>
      <w:ind w:left="1100"/>
    </w:pPr>
  </w:style>
  <w:style w:type="paragraph" w:styleId="194">
    <w:name w:val="toc 7"/>
    <w:basedOn w:val="682"/>
    <w:next w:val="682"/>
    <w:uiPriority w:val="39"/>
    <w:unhideWhenUsed/>
    <w:pPr>
      <w:pBdr/>
      <w:spacing w:after="100"/>
      <w:ind w:left="1320"/>
    </w:pPr>
  </w:style>
  <w:style w:type="paragraph" w:styleId="195">
    <w:name w:val="toc 8"/>
    <w:basedOn w:val="682"/>
    <w:next w:val="682"/>
    <w:uiPriority w:val="39"/>
    <w:unhideWhenUsed/>
    <w:pPr>
      <w:pBdr/>
      <w:spacing w:after="100"/>
      <w:ind w:left="1540"/>
    </w:pPr>
  </w:style>
  <w:style w:type="paragraph" w:styleId="196">
    <w:name w:val="toc 9"/>
    <w:basedOn w:val="682"/>
    <w:next w:val="682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92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82"/>
    <w:next w:val="682"/>
    <w:uiPriority w:val="99"/>
    <w:unhideWhenUsed/>
    <w:pPr>
      <w:pBdr/>
      <w:spacing w:after="0" w:afterAutospacing="0"/>
      <w:ind/>
    </w:pPr>
  </w:style>
  <w:style w:type="paragraph" w:styleId="682" w:default="1">
    <w:name w:val="Normal"/>
    <w:qFormat/>
    <w:pPr>
      <w:pBdr/>
      <w:spacing w:after="120" w:before="120" w:line="276" w:lineRule="auto"/>
      <w:ind w:firstLine="482"/>
      <w:jc w:val="both"/>
    </w:pPr>
    <w:rPr>
      <w:rFonts w:ascii="Times New Roman" w:hAnsi="Times New Roman" w:eastAsia="Times New Roman" w:cs="Times New Roman"/>
      <w:sz w:val="22"/>
      <w:szCs w:val="22"/>
      <w:lang w:val="ru-RU" w:eastAsia="ru-RU"/>
      <w14:ligatures w14:val="none"/>
    </w:rPr>
  </w:style>
  <w:style w:type="paragraph" w:styleId="683">
    <w:name w:val="Heading 1"/>
    <w:basedOn w:val="682"/>
    <w:next w:val="682"/>
    <w:link w:val="6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84">
    <w:name w:val="Heading 2"/>
    <w:basedOn w:val="682"/>
    <w:next w:val="682"/>
    <w:link w:val="696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85">
    <w:name w:val="Heading 3"/>
    <w:basedOn w:val="682"/>
    <w:next w:val="682"/>
    <w:link w:val="69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86">
    <w:name w:val="Heading 4"/>
    <w:basedOn w:val="682"/>
    <w:next w:val="682"/>
    <w:link w:val="6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87">
    <w:name w:val="Heading 5"/>
    <w:basedOn w:val="682"/>
    <w:next w:val="682"/>
    <w:link w:val="69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88">
    <w:name w:val="Heading 6"/>
    <w:basedOn w:val="682"/>
    <w:next w:val="682"/>
    <w:link w:val="700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9">
    <w:name w:val="Heading 7"/>
    <w:basedOn w:val="682"/>
    <w:next w:val="682"/>
    <w:link w:val="701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90">
    <w:name w:val="Heading 8"/>
    <w:basedOn w:val="682"/>
    <w:next w:val="682"/>
    <w:link w:val="702"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91">
    <w:name w:val="Heading 9"/>
    <w:basedOn w:val="682"/>
    <w:next w:val="682"/>
    <w:link w:val="703"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92" w:default="1">
    <w:name w:val="Default Paragraph Font"/>
    <w:uiPriority w:val="1"/>
    <w:unhideWhenUsed/>
    <w:pPr>
      <w:pBdr/>
      <w:spacing/>
      <w:ind/>
    </w:pPr>
  </w:style>
  <w:style w:type="table" w:styleId="6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4" w:default="1">
    <w:name w:val="No List"/>
    <w:uiPriority w:val="99"/>
    <w:semiHidden/>
    <w:unhideWhenUsed/>
    <w:pPr>
      <w:pBdr/>
      <w:spacing/>
      <w:ind/>
    </w:pPr>
  </w:style>
  <w:style w:type="character" w:styleId="695" w:customStyle="1">
    <w:name w:val="Заголовок 1 Знак"/>
    <w:basedOn w:val="692"/>
    <w:link w:val="683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96" w:customStyle="1">
    <w:name w:val="Заголовок 2 Знак"/>
    <w:basedOn w:val="692"/>
    <w:link w:val="68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97" w:customStyle="1">
    <w:name w:val="Заголовок 3 Знак"/>
    <w:basedOn w:val="692"/>
    <w:link w:val="68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98" w:customStyle="1">
    <w:name w:val="Заголовок 4 Знак"/>
    <w:basedOn w:val="692"/>
    <w:link w:val="686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99" w:customStyle="1">
    <w:name w:val="Заголовок 5 Знак"/>
    <w:basedOn w:val="692"/>
    <w:link w:val="68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00" w:customStyle="1">
    <w:name w:val="Заголовок 6 Знак"/>
    <w:basedOn w:val="692"/>
    <w:link w:val="68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01" w:customStyle="1">
    <w:name w:val="Заголовок 7 Знак"/>
    <w:basedOn w:val="692"/>
    <w:link w:val="68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02" w:customStyle="1">
    <w:name w:val="Заголовок 8 Знак"/>
    <w:basedOn w:val="692"/>
    <w:link w:val="69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03" w:customStyle="1">
    <w:name w:val="Заголовок 9 Знак"/>
    <w:basedOn w:val="692"/>
    <w:link w:val="69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04">
    <w:name w:val="Title"/>
    <w:basedOn w:val="682"/>
    <w:next w:val="682"/>
    <w:link w:val="70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05" w:customStyle="1">
    <w:name w:val="Заголовок Знак"/>
    <w:basedOn w:val="692"/>
    <w:link w:val="70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06">
    <w:name w:val="Subtitle"/>
    <w:basedOn w:val="682"/>
    <w:next w:val="682"/>
    <w:link w:val="707"/>
    <w:uiPriority w:val="11"/>
    <w:qFormat/>
    <w:pPr>
      <w:numPr>
        <w:ilvl w:val="1"/>
      </w:numPr>
      <w:pBdr/>
      <w:spacing/>
      <w:ind w:firstLine="48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07" w:customStyle="1">
    <w:name w:val="Подзаголовок Знак"/>
    <w:basedOn w:val="692"/>
    <w:link w:val="70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08">
    <w:name w:val="Quote"/>
    <w:basedOn w:val="682"/>
    <w:next w:val="682"/>
    <w:link w:val="7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09" w:customStyle="1">
    <w:name w:val="Цитата 2 Знак"/>
    <w:basedOn w:val="692"/>
    <w:link w:val="70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10">
    <w:name w:val="List Paragraph"/>
    <w:basedOn w:val="682"/>
    <w:link w:val="715"/>
    <w:uiPriority w:val="34"/>
    <w:qFormat/>
    <w:pPr>
      <w:pBdr/>
      <w:spacing/>
      <w:ind w:left="720"/>
      <w:contextualSpacing w:val="true"/>
    </w:pPr>
  </w:style>
  <w:style w:type="character" w:styleId="711">
    <w:name w:val="Intense Emphasis"/>
    <w:basedOn w:val="6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12">
    <w:name w:val="Intense Quote"/>
    <w:basedOn w:val="682"/>
    <w:next w:val="682"/>
    <w:link w:val="71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13" w:customStyle="1">
    <w:name w:val="Выделенная цитата Знак"/>
    <w:basedOn w:val="692"/>
    <w:link w:val="7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Reference"/>
    <w:basedOn w:val="6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5" w:customStyle="1">
    <w:name w:val="Абзац списка Знак"/>
    <w:link w:val="710"/>
    <w:uiPriority w:val="34"/>
    <w:pPr>
      <w:pBdr/>
      <w:spacing/>
      <w:ind/>
    </w:pPr>
  </w:style>
  <w:style w:type="character" w:styleId="716">
    <w:name w:val="Hyperlink"/>
    <w:basedOn w:val="692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717">
    <w:name w:val="Unresolved Mention"/>
    <w:basedOn w:val="69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aygine.u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revision>3</cp:revision>
  <dcterms:created xsi:type="dcterms:W3CDTF">2025-04-22T12:42:00Z</dcterms:created>
  <dcterms:modified xsi:type="dcterms:W3CDTF">2025-07-18T05:45:31Z</dcterms:modified>
</cp:coreProperties>
</file>